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6919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2921C783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 w:right="384"/>
        <w:jc w:val="both"/>
        <w:rPr>
          <w:rFonts w:ascii="Arial" w:eastAsia="Arial" w:hAnsi="Arial" w:cs="Arial"/>
          <w:b/>
          <w:color w:val="000000"/>
        </w:rPr>
      </w:pPr>
    </w:p>
    <w:p w14:paraId="0FEFC7DB" w14:textId="77777777" w:rsidR="000D2C0D" w:rsidRPr="00765E1C" w:rsidRDefault="008E7DE9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 w:right="384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 w:rsidRPr="00765E1C">
        <w:rPr>
          <w:rFonts w:ascii="Arial" w:eastAsia="Arial" w:hAnsi="Arial" w:cs="Arial"/>
          <w:b/>
          <w:color w:val="000000"/>
          <w:sz w:val="32"/>
          <w:szCs w:val="32"/>
        </w:rPr>
        <w:t>COMUNICADO OFICIAL</w:t>
      </w:r>
    </w:p>
    <w:p w14:paraId="7CD2D92C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 w:right="384"/>
        <w:jc w:val="both"/>
        <w:rPr>
          <w:rFonts w:ascii="Arial" w:eastAsia="Arial" w:hAnsi="Arial" w:cs="Arial"/>
          <w:b/>
          <w:color w:val="000000"/>
        </w:rPr>
      </w:pPr>
    </w:p>
    <w:p w14:paraId="3FE26B2A" w14:textId="5603B9F5" w:rsidR="000D2C0D" w:rsidRDefault="008E7DE9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 w:right="3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Madrid, </w:t>
      </w:r>
      <w:r w:rsidR="00E7549D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 xml:space="preserve"> de febrero de 2022.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El Comité de Alergia a Medicamentos de la Sociedad Española de Alergología e Inmunología Clínica (SEAIC) quiere realizar las siguientes puntualizaciones en relación con la </w:t>
      </w:r>
      <w:r>
        <w:rPr>
          <w:rFonts w:ascii="Arial" w:eastAsia="Arial" w:hAnsi="Arial" w:cs="Arial"/>
        </w:rPr>
        <w:t xml:space="preserve">recomendación de </w:t>
      </w:r>
      <w:r>
        <w:rPr>
          <w:rFonts w:ascii="Arial" w:eastAsia="Arial" w:hAnsi="Arial" w:cs="Arial"/>
          <w:color w:val="000000"/>
        </w:rPr>
        <w:t xml:space="preserve">Sanidad </w:t>
      </w:r>
      <w:r>
        <w:rPr>
          <w:rFonts w:ascii="Arial" w:eastAsia="Arial" w:hAnsi="Arial" w:cs="Arial"/>
        </w:rPr>
        <w:t xml:space="preserve">de administrar la vacuna </w:t>
      </w:r>
      <w:proofErr w:type="spellStart"/>
      <w:r>
        <w:rPr>
          <w:rFonts w:ascii="Arial" w:eastAsia="Arial" w:hAnsi="Arial" w:cs="Arial"/>
        </w:rPr>
        <w:t>Nuvaxovid</w:t>
      </w:r>
      <w:proofErr w:type="spellEnd"/>
      <w:r>
        <w:rPr>
          <w:rFonts w:ascii="Arial" w:eastAsia="Arial" w:hAnsi="Arial" w:cs="Arial"/>
        </w:rPr>
        <w:t xml:space="preserve"> (Novavax) </w:t>
      </w:r>
      <w:r>
        <w:rPr>
          <w:rFonts w:ascii="Arial" w:eastAsia="Arial" w:hAnsi="Arial" w:cs="Arial"/>
          <w:color w:val="000000"/>
        </w:rPr>
        <w:t>a las personas alérgicas a las otras vacunas</w:t>
      </w:r>
      <w:r w:rsidR="00765E1C" w:rsidRPr="00765E1C">
        <w:rPr>
          <w:rFonts w:ascii="Arial" w:eastAsia="Arial" w:hAnsi="Arial" w:cs="Arial"/>
          <w:bCs/>
          <w:color w:val="000000"/>
        </w:rPr>
        <w:t xml:space="preserve"> </w:t>
      </w:r>
      <w:r w:rsidR="00765E1C" w:rsidRPr="00765E1C">
        <w:rPr>
          <w:rFonts w:ascii="Arial" w:eastAsia="Arial" w:hAnsi="Arial" w:cs="Arial"/>
          <w:bCs/>
        </w:rPr>
        <w:t>frente al SARS-CoV-2</w:t>
      </w:r>
      <w:r>
        <w:rPr>
          <w:rFonts w:ascii="Arial" w:eastAsia="Arial" w:hAnsi="Arial" w:cs="Arial"/>
          <w:color w:val="000000"/>
        </w:rPr>
        <w:t>:</w:t>
      </w:r>
    </w:p>
    <w:p w14:paraId="6C35FF99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 w:right="384"/>
        <w:jc w:val="both"/>
        <w:rPr>
          <w:rFonts w:ascii="Arial" w:eastAsia="Arial" w:hAnsi="Arial" w:cs="Arial"/>
          <w:color w:val="000000"/>
        </w:rPr>
      </w:pPr>
    </w:p>
    <w:p w14:paraId="6E9B8C83" w14:textId="77777777" w:rsidR="000D2C0D" w:rsidRDefault="008E7DE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</w:pPr>
      <w:r>
        <w:rPr>
          <w:rFonts w:ascii="Arial" w:eastAsia="Arial" w:hAnsi="Arial" w:cs="Arial"/>
        </w:rPr>
        <w:t>La vacuna de Novavax contiene entre sus excipientes POLISORBATO 80. Este mismo excipiente también está presente en las vacunas de AstraZeneca y Janssen frente al SARS-CoV-2.</w:t>
      </w:r>
    </w:p>
    <w:p w14:paraId="606A6836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Arial" w:eastAsia="Arial" w:hAnsi="Arial" w:cs="Arial"/>
        </w:rPr>
      </w:pPr>
    </w:p>
    <w:p w14:paraId="6D2CCBBC" w14:textId="612A6579" w:rsidR="000D2C0D" w:rsidRDefault="008E7DE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este motivo, las personas que </w:t>
      </w:r>
      <w:r w:rsidR="008D0A1F">
        <w:rPr>
          <w:rFonts w:ascii="Arial" w:eastAsia="Arial" w:hAnsi="Arial" w:cs="Arial"/>
        </w:rPr>
        <w:t xml:space="preserve">previamente </w:t>
      </w:r>
      <w:r>
        <w:rPr>
          <w:rFonts w:ascii="Arial" w:eastAsia="Arial" w:hAnsi="Arial" w:cs="Arial"/>
        </w:rPr>
        <w:t xml:space="preserve">hubiesen manifestado reacciones alérgicas con las vacunas de AstraZeneca y Janssen no deberían recibir una dosis de la vacuna de Novavax hasta que un alergólogo haya realizado un estudio alergológico completo. </w:t>
      </w:r>
    </w:p>
    <w:p w14:paraId="6A90EF9E" w14:textId="77777777" w:rsidR="000D2C0D" w:rsidRDefault="000D2C0D" w:rsidP="00496FE5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Arial" w:eastAsia="Arial" w:hAnsi="Arial" w:cs="Arial"/>
        </w:rPr>
      </w:pPr>
    </w:p>
    <w:p w14:paraId="55457835" w14:textId="508904AB" w:rsidR="000D2C0D" w:rsidRDefault="008E7DE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otro lado, y aunque el POLISORBATO 80 rara vez reacciona de forma cruzada con el </w:t>
      </w:r>
      <w:r w:rsidR="00D95C5B">
        <w:rPr>
          <w:rFonts w:ascii="Arial" w:eastAsia="Arial" w:hAnsi="Arial" w:cs="Arial"/>
        </w:rPr>
        <w:t>POLIETILENGLICOL</w:t>
      </w:r>
      <w:r>
        <w:rPr>
          <w:rFonts w:ascii="Arial" w:eastAsia="Arial" w:hAnsi="Arial" w:cs="Arial"/>
        </w:rPr>
        <w:t xml:space="preserve"> (PEG), este componente se ha identificado como el responsable de provocar reacciones alérgicas graves tras la administración de vacunas frente </w:t>
      </w:r>
      <w:r w:rsidR="008D0A1F" w:rsidRPr="00765E1C">
        <w:rPr>
          <w:rFonts w:ascii="Arial" w:eastAsia="Arial" w:hAnsi="Arial" w:cs="Arial"/>
          <w:bCs/>
        </w:rPr>
        <w:t>al SARS-CoV-2</w:t>
      </w:r>
      <w:r>
        <w:rPr>
          <w:rFonts w:ascii="Arial" w:eastAsia="Arial" w:hAnsi="Arial" w:cs="Arial"/>
        </w:rPr>
        <w:t>. En este sentido, también está indicada la realización de una evaluación alergológica previa a recibir la vacuna de Novavax en el caso de las personas que hayan manifestado reacciones alérgicas graves con otras vacunas frente al SARS-CoV-2.</w:t>
      </w:r>
    </w:p>
    <w:p w14:paraId="6521741A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Arial" w:eastAsia="Arial" w:hAnsi="Arial" w:cs="Arial"/>
        </w:rPr>
      </w:pPr>
    </w:p>
    <w:p w14:paraId="4F6FE408" w14:textId="7AF1A3C1" w:rsidR="000D2C0D" w:rsidRDefault="008E7DE9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Por todo lo anterior, la Sociedad Española de Alergología e Inmunología Clínica (SEAIC) </w:t>
      </w:r>
      <w:r w:rsidR="00D95C5B">
        <w:rPr>
          <w:rFonts w:ascii="Arial" w:eastAsia="Arial" w:hAnsi="Arial" w:cs="Arial"/>
          <w:b/>
        </w:rPr>
        <w:t xml:space="preserve">recomienda </w:t>
      </w:r>
      <w:r>
        <w:rPr>
          <w:rFonts w:ascii="Arial" w:eastAsia="Arial" w:hAnsi="Arial" w:cs="Arial"/>
          <w:b/>
        </w:rPr>
        <w:t xml:space="preserve">que no se </w:t>
      </w:r>
      <w:r w:rsidR="00D95C5B">
        <w:rPr>
          <w:rFonts w:ascii="Arial" w:eastAsia="Arial" w:hAnsi="Arial" w:cs="Arial"/>
          <w:b/>
        </w:rPr>
        <w:t xml:space="preserve">administre </w:t>
      </w:r>
      <w:r>
        <w:rPr>
          <w:rFonts w:ascii="Arial" w:eastAsia="Arial" w:hAnsi="Arial" w:cs="Arial"/>
          <w:b/>
        </w:rPr>
        <w:t xml:space="preserve">la nueva vacuna de Novavax frente al SARS-CoV-2 sin haber realizado de forma previa, y por un alergólogo titulado, una evaluación alergológica en aquellas personas que </w:t>
      </w:r>
      <w:r w:rsidR="008D0A1F">
        <w:rPr>
          <w:rFonts w:ascii="Arial" w:eastAsia="Arial" w:hAnsi="Arial" w:cs="Arial"/>
          <w:b/>
        </w:rPr>
        <w:t xml:space="preserve">hubieran presentado </w:t>
      </w:r>
      <w:r>
        <w:rPr>
          <w:rFonts w:ascii="Arial" w:eastAsia="Arial" w:hAnsi="Arial" w:cs="Arial"/>
          <w:b/>
        </w:rPr>
        <w:t xml:space="preserve">reacciones alérgicas sistémicas - especialmente si </w:t>
      </w:r>
      <w:r w:rsidR="008D0A1F">
        <w:rPr>
          <w:rFonts w:ascii="Arial" w:eastAsia="Arial" w:hAnsi="Arial" w:cs="Arial"/>
          <w:b/>
        </w:rPr>
        <w:t>hubieran</w:t>
      </w:r>
      <w:r>
        <w:rPr>
          <w:rFonts w:ascii="Arial" w:eastAsia="Arial" w:hAnsi="Arial" w:cs="Arial"/>
          <w:b/>
        </w:rPr>
        <w:t xml:space="preserve"> sido graves- con cualquier otra vacuna frente </w:t>
      </w:r>
      <w:r w:rsidR="008D0A1F">
        <w:rPr>
          <w:rFonts w:ascii="Arial" w:eastAsia="Arial" w:hAnsi="Arial" w:cs="Arial"/>
          <w:b/>
        </w:rPr>
        <w:t>al SARS-CoV-2</w:t>
      </w:r>
      <w:r>
        <w:rPr>
          <w:rFonts w:ascii="Arial" w:eastAsia="Arial" w:hAnsi="Arial" w:cs="Arial"/>
          <w:b/>
        </w:rPr>
        <w:t>.</w:t>
      </w:r>
    </w:p>
    <w:p w14:paraId="128BF7E7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EB20919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F13D60E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07A5FD" w14:textId="77777777" w:rsidR="000D2C0D" w:rsidRDefault="008E7DE9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más información, Gabinete de Prensa de la SEAIC.</w:t>
      </w:r>
    </w:p>
    <w:p w14:paraId="6B7798A6" w14:textId="77777777" w:rsidR="000D2C0D" w:rsidRDefault="008E7DE9">
      <w:pPr>
        <w:widowControl/>
        <w:spacing w:after="200"/>
        <w:ind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ALABRA</w:t>
      </w:r>
    </w:p>
    <w:p w14:paraId="66280BEB" w14:textId="77777777" w:rsidR="000D2C0D" w:rsidRDefault="008E7DE9">
      <w:pPr>
        <w:widowControl/>
        <w:spacing w:after="200"/>
        <w:ind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Helena Pastor </w:t>
      </w:r>
    </w:p>
    <w:p w14:paraId="295E1AB4" w14:textId="77777777" w:rsidR="000D2C0D" w:rsidRDefault="00427760">
      <w:pPr>
        <w:widowControl/>
        <w:spacing w:after="200"/>
        <w:ind w:hanging="2"/>
        <w:rPr>
          <w:rFonts w:ascii="Arial" w:eastAsia="Arial" w:hAnsi="Arial" w:cs="Arial"/>
          <w:color w:val="0563C1"/>
          <w:sz w:val="20"/>
          <w:szCs w:val="20"/>
        </w:rPr>
      </w:pPr>
      <w:hyperlink r:id="rId8">
        <w:r w:rsidR="008E7DE9"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helena.pastor@alabra.es</w:t>
        </w:r>
      </w:hyperlink>
      <w:r w:rsidR="008E7DE9">
        <w:rPr>
          <w:rFonts w:ascii="Arial" w:eastAsia="Arial" w:hAnsi="Arial" w:cs="Arial"/>
          <w:b/>
          <w:color w:val="0563C1"/>
          <w:sz w:val="20"/>
          <w:szCs w:val="20"/>
        </w:rPr>
        <w:t xml:space="preserve">  </w:t>
      </w:r>
    </w:p>
    <w:p w14:paraId="1A332730" w14:textId="77777777" w:rsidR="000D2C0D" w:rsidRDefault="008E7DE9">
      <w:pPr>
        <w:widowControl/>
        <w:spacing w:after="200"/>
        <w:ind w:hanging="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sz w:val="20"/>
          <w:szCs w:val="20"/>
        </w:rPr>
        <w:t>647 24 16 15</w:t>
      </w:r>
    </w:p>
    <w:sectPr w:rsidR="000D2C0D">
      <w:headerReference w:type="default" r:id="rId9"/>
      <w:pgSz w:w="12240" w:h="15840"/>
      <w:pgMar w:top="1560" w:right="1320" w:bottom="280" w:left="13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26DB" w14:textId="77777777" w:rsidR="00427760" w:rsidRDefault="00427760">
      <w:r>
        <w:separator/>
      </w:r>
    </w:p>
  </w:endnote>
  <w:endnote w:type="continuationSeparator" w:id="0">
    <w:p w14:paraId="2C16A4FE" w14:textId="77777777" w:rsidR="00427760" w:rsidRDefault="004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24DF" w14:textId="77777777" w:rsidR="00427760" w:rsidRDefault="00427760">
      <w:r>
        <w:separator/>
      </w:r>
    </w:p>
  </w:footnote>
  <w:footnote w:type="continuationSeparator" w:id="0">
    <w:p w14:paraId="7FA7BE9F" w14:textId="77777777" w:rsidR="00427760" w:rsidRDefault="0042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DFD8" w14:textId="77777777" w:rsidR="000D2C0D" w:rsidRDefault="008E7DE9">
    <w:pPr>
      <w:widowControl/>
      <w:pBdr>
        <w:top w:val="nil"/>
        <w:left w:val="nil"/>
        <w:bottom w:val="nil"/>
        <w:right w:val="nil"/>
        <w:between w:val="nil"/>
      </w:pBdr>
      <w:spacing w:line="14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3A7F1BEC" wp14:editId="395F07EC">
          <wp:simplePos x="0" y="0"/>
          <wp:positionH relativeFrom="page">
            <wp:posOffset>595800</wp:posOffset>
          </wp:positionH>
          <wp:positionV relativeFrom="page">
            <wp:posOffset>179640</wp:posOffset>
          </wp:positionV>
          <wp:extent cx="1299240" cy="66744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9240" cy="66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BC8"/>
    <w:multiLevelType w:val="multilevel"/>
    <w:tmpl w:val="AD308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D53000D"/>
    <w:multiLevelType w:val="multilevel"/>
    <w:tmpl w:val="51AE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0D"/>
    <w:rsid w:val="000D2C0D"/>
    <w:rsid w:val="00427760"/>
    <w:rsid w:val="00496FE5"/>
    <w:rsid w:val="00605408"/>
    <w:rsid w:val="00701716"/>
    <w:rsid w:val="00765E1C"/>
    <w:rsid w:val="00770CE6"/>
    <w:rsid w:val="008D0A1F"/>
    <w:rsid w:val="008E7DE9"/>
    <w:rsid w:val="00D95C5B"/>
    <w:rsid w:val="00E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AF54"/>
  <w15:docId w15:val="{DEBD0956-FDB5-4DEF-83A2-6D81B1D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uiPriority w:val="9"/>
    <w:qFormat/>
    <w:pPr>
      <w:ind w:left="100" w:right="11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</w:pPr>
    <w:rPr>
      <w:rFonts w:ascii="Arial" w:eastAsia="Arial" w:hAnsi="Arial" w:cs="Arial"/>
      <w:lang w:bidi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ind w:left="1086" w:right="222" w:hanging="360"/>
      <w:jc w:val="both"/>
    </w:pPr>
  </w:style>
  <w:style w:type="paragraph" w:customStyle="1" w:styleId="TableParagraph">
    <w:name w:val="Table Paragraph"/>
    <w:basedOn w:val="Standard"/>
  </w:style>
  <w:style w:type="paragraph" w:customStyle="1" w:styleId="Poromisin">
    <w:name w:val="Por omisión"/>
    <w:pPr>
      <w:widowControl/>
    </w:pPr>
    <w:rPr>
      <w:rFonts w:ascii="Helvetica Neue" w:eastAsia="Times New Roman" w:hAnsi="Helvetica Neue" w:cs="Times New Roman"/>
      <w:color w:val="000000"/>
      <w:lang w:eastAsia="ja-JP"/>
    </w:rPr>
  </w:style>
  <w:style w:type="paragraph" w:styleId="Subttulo">
    <w:name w:val="Subtitle"/>
    <w:basedOn w:val="Normal"/>
    <w:next w:val="Normal"/>
    <w:uiPriority w:val="11"/>
    <w:qFormat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ubttuloCar">
    <w:name w:val="Subtítulo Car"/>
    <w:basedOn w:val="Fuentedeprrafopredeter"/>
    <w:rPr>
      <w:rFonts w:ascii="Times New Roman" w:eastAsia="Times New Roman" w:hAnsi="Times New Roman" w:cs="Times New Roman"/>
      <w:b/>
      <w:bCs/>
      <w:i/>
      <w:iCs/>
      <w:kern w:val="3"/>
      <w:sz w:val="28"/>
      <w:szCs w:val="28"/>
      <w:lang w:val="es-ES" w:eastAsia="es-ES"/>
    </w:rPr>
  </w:style>
  <w:style w:type="character" w:customStyle="1" w:styleId="ListLabel1">
    <w:name w:val="ListLabel 1"/>
    <w:rPr>
      <w:rFonts w:eastAsia="Arial" w:cs="Arial"/>
      <w:spacing w:val="-10"/>
      <w:w w:val="99"/>
      <w:sz w:val="22"/>
      <w:szCs w:val="22"/>
      <w:lang w:val="es-ES" w:eastAsia="es-ES" w:bidi="es-ES"/>
    </w:rPr>
  </w:style>
  <w:style w:type="character" w:customStyle="1" w:styleId="ListLabel2">
    <w:name w:val="ListLabel 2"/>
    <w:rPr>
      <w:lang w:val="es-ES" w:eastAsia="es-ES" w:bidi="es-ES"/>
    </w:rPr>
  </w:style>
  <w:style w:type="character" w:customStyle="1" w:styleId="ListLabel3">
    <w:name w:val="ListLabel 3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4">
    <w:name w:val="WWNum4"/>
    <w:basedOn w:val="Sinlista"/>
  </w:style>
  <w:style w:type="numbering" w:customStyle="1" w:styleId="WWNum5">
    <w:name w:val="WWNum5"/>
    <w:basedOn w:val="Sinlista"/>
  </w:style>
  <w:style w:type="paragraph" w:styleId="Revisin">
    <w:name w:val="Revision"/>
    <w:hidden/>
    <w:uiPriority w:val="99"/>
    <w:semiHidden/>
    <w:rsid w:val="00D95C5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astor@alab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C8qwdoeQYu56SeZuPRf3qO2VA==">AMUW2mVH5UxRLxWjoo6FZI0t3xRPS2rj9KDRiKMz9X23ysZAYNGRPNb0/IDGF0V0tjxo4sUGKh0AecKPgk6A3V3IspoKXGo8Pm+4aVWT2YD5dDbkNWunjBI=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VALERO, ANTONIO LUIS (ICR)</dc:creator>
  <cp:lastModifiedBy>Paz Romero</cp:lastModifiedBy>
  <cp:revision>5</cp:revision>
  <dcterms:created xsi:type="dcterms:W3CDTF">2022-02-10T08:35:00Z</dcterms:created>
  <dcterms:modified xsi:type="dcterms:W3CDTF">2022-02-10T08:39:00Z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