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0BC6" w14:textId="77777777" w:rsidR="00F32F4E" w:rsidRDefault="00F32F4E" w:rsidP="0090075F">
      <w:pPr>
        <w:jc w:val="center"/>
        <w:rPr>
          <w:rFonts w:ascii="Arial" w:hAnsi="Arial" w:cs="Arial"/>
          <w:b/>
          <w:bCs/>
          <w:sz w:val="20"/>
          <w:szCs w:val="20"/>
          <w:u w:val="single"/>
        </w:rPr>
      </w:pPr>
    </w:p>
    <w:p w14:paraId="17844A72" w14:textId="2437F13A" w:rsidR="00EA0AA2" w:rsidRPr="00725306" w:rsidRDefault="0090075F" w:rsidP="0090075F">
      <w:pPr>
        <w:jc w:val="center"/>
        <w:rPr>
          <w:rFonts w:ascii="Arial" w:hAnsi="Arial" w:cs="Arial"/>
          <w:b/>
          <w:bCs/>
          <w:sz w:val="20"/>
          <w:szCs w:val="20"/>
          <w:u w:val="single"/>
        </w:rPr>
      </w:pPr>
      <w:r w:rsidRPr="00725306">
        <w:rPr>
          <w:rFonts w:ascii="Arial" w:hAnsi="Arial" w:cs="Arial"/>
          <w:b/>
          <w:bCs/>
          <w:sz w:val="20"/>
          <w:szCs w:val="20"/>
          <w:u w:val="single"/>
        </w:rPr>
        <w:t>En los últimos años se ha producido un incremento en el número de hospitalizaciones por anafilaxia</w:t>
      </w:r>
    </w:p>
    <w:p w14:paraId="104BBA41" w14:textId="0944F2DB" w:rsidR="00724DF6" w:rsidRPr="00725306" w:rsidRDefault="009D7B2F" w:rsidP="00E32011">
      <w:pPr>
        <w:jc w:val="center"/>
        <w:rPr>
          <w:rFonts w:ascii="Arial" w:hAnsi="Arial" w:cs="Arial"/>
          <w:b/>
          <w:bCs/>
          <w:sz w:val="28"/>
          <w:szCs w:val="28"/>
        </w:rPr>
      </w:pPr>
      <w:r w:rsidRPr="00725306">
        <w:rPr>
          <w:rFonts w:ascii="Arial" w:hAnsi="Arial" w:cs="Arial"/>
          <w:b/>
          <w:bCs/>
          <w:sz w:val="28"/>
          <w:szCs w:val="28"/>
        </w:rPr>
        <w:t xml:space="preserve">LA SEAIC CREA </w:t>
      </w:r>
      <w:r w:rsidR="0090075F" w:rsidRPr="00725306">
        <w:rPr>
          <w:rFonts w:ascii="Arial" w:hAnsi="Arial" w:cs="Arial"/>
          <w:b/>
          <w:bCs/>
          <w:sz w:val="28"/>
          <w:szCs w:val="28"/>
        </w:rPr>
        <w:t>EL</w:t>
      </w:r>
      <w:r w:rsidRPr="00725306">
        <w:rPr>
          <w:rFonts w:ascii="Arial" w:hAnsi="Arial" w:cs="Arial"/>
          <w:b/>
          <w:bCs/>
          <w:sz w:val="28"/>
          <w:szCs w:val="28"/>
        </w:rPr>
        <w:t xml:space="preserve"> COMITÉ DE ANAFILAXIA PARA PROMOVER </w:t>
      </w:r>
      <w:r w:rsidR="002504E4" w:rsidRPr="00725306">
        <w:rPr>
          <w:rFonts w:ascii="Arial" w:hAnsi="Arial" w:cs="Arial"/>
          <w:b/>
          <w:bCs/>
          <w:sz w:val="28"/>
          <w:szCs w:val="28"/>
        </w:rPr>
        <w:t xml:space="preserve">Y ABORDAR DE FORMA TRANSVERSAL ESTA </w:t>
      </w:r>
      <w:r w:rsidR="00BF0539">
        <w:rPr>
          <w:rFonts w:ascii="Arial" w:hAnsi="Arial" w:cs="Arial"/>
          <w:b/>
          <w:bCs/>
          <w:sz w:val="28"/>
          <w:szCs w:val="28"/>
        </w:rPr>
        <w:t xml:space="preserve">GRAVE </w:t>
      </w:r>
      <w:r w:rsidR="002504E4" w:rsidRPr="00725306">
        <w:rPr>
          <w:rFonts w:ascii="Arial" w:hAnsi="Arial" w:cs="Arial"/>
          <w:b/>
          <w:bCs/>
          <w:sz w:val="28"/>
          <w:szCs w:val="28"/>
        </w:rPr>
        <w:t>REACCIÓN ALÉRGICA</w:t>
      </w:r>
    </w:p>
    <w:p w14:paraId="015A7664" w14:textId="35256B4A" w:rsidR="008F5451" w:rsidRPr="00725306" w:rsidRDefault="008F5451" w:rsidP="00EA0AA2">
      <w:pPr>
        <w:pStyle w:val="Prrafodelista"/>
        <w:numPr>
          <w:ilvl w:val="0"/>
          <w:numId w:val="1"/>
        </w:numPr>
        <w:jc w:val="both"/>
        <w:rPr>
          <w:rFonts w:ascii="Arial" w:hAnsi="Arial" w:cs="Arial"/>
          <w:b/>
          <w:bCs/>
        </w:rPr>
      </w:pPr>
      <w:r w:rsidRPr="00725306">
        <w:rPr>
          <w:rFonts w:ascii="Arial" w:hAnsi="Arial" w:cs="Arial"/>
          <w:b/>
          <w:bCs/>
        </w:rPr>
        <w:t xml:space="preserve">Concretamente, los grupos de edad entre 0 y 4 años tienen una incidencia </w:t>
      </w:r>
      <w:r w:rsidR="00BF0539">
        <w:rPr>
          <w:rFonts w:ascii="Arial" w:hAnsi="Arial" w:cs="Arial"/>
          <w:b/>
          <w:bCs/>
        </w:rPr>
        <w:t xml:space="preserve">de anafilaxia </w:t>
      </w:r>
      <w:r w:rsidRPr="00725306">
        <w:rPr>
          <w:rFonts w:ascii="Arial" w:hAnsi="Arial" w:cs="Arial"/>
          <w:b/>
          <w:bCs/>
        </w:rPr>
        <w:t>tres veces superior, resultando principalmente elevada durante los dos primeros años de vida</w:t>
      </w:r>
    </w:p>
    <w:p w14:paraId="0A6E3249" w14:textId="77777777" w:rsidR="00753B9F" w:rsidRPr="00725306" w:rsidRDefault="00753B9F" w:rsidP="00753B9F">
      <w:pPr>
        <w:pStyle w:val="Prrafodelista"/>
        <w:jc w:val="both"/>
        <w:rPr>
          <w:rFonts w:ascii="Arial" w:hAnsi="Arial" w:cs="Arial"/>
          <w:b/>
          <w:bCs/>
        </w:rPr>
      </w:pPr>
    </w:p>
    <w:p w14:paraId="4F55CFD3" w14:textId="7E48C7A7" w:rsidR="00ED6E98" w:rsidRPr="00725306" w:rsidRDefault="002E6489" w:rsidP="00725306">
      <w:pPr>
        <w:pStyle w:val="Prrafodelista"/>
        <w:jc w:val="both"/>
        <w:rPr>
          <w:rFonts w:ascii="Arial" w:hAnsi="Arial" w:cs="Arial"/>
          <w:b/>
          <w:bCs/>
        </w:rPr>
      </w:pPr>
      <w:r w:rsidRPr="00725306">
        <w:rPr>
          <w:rFonts w:ascii="Arial" w:hAnsi="Arial" w:cs="Arial"/>
          <w:b/>
          <w:bCs/>
        </w:rPr>
        <w:t>El objetivo</w:t>
      </w:r>
      <w:r w:rsidR="00D749D1" w:rsidRPr="00725306">
        <w:rPr>
          <w:rFonts w:ascii="Arial" w:hAnsi="Arial" w:cs="Arial"/>
          <w:b/>
          <w:bCs/>
        </w:rPr>
        <w:t xml:space="preserve"> de</w:t>
      </w:r>
      <w:r w:rsidR="00B36FDD" w:rsidRPr="00725306">
        <w:rPr>
          <w:rFonts w:ascii="Arial" w:hAnsi="Arial" w:cs="Arial"/>
          <w:b/>
          <w:bCs/>
        </w:rPr>
        <w:t xml:space="preserve"> este</w:t>
      </w:r>
      <w:r w:rsidR="00D749D1" w:rsidRPr="00725306">
        <w:rPr>
          <w:rFonts w:ascii="Arial" w:hAnsi="Arial" w:cs="Arial"/>
          <w:b/>
          <w:bCs/>
        </w:rPr>
        <w:t xml:space="preserve"> nuevo </w:t>
      </w:r>
      <w:r w:rsidR="00B36FDD" w:rsidRPr="00725306">
        <w:rPr>
          <w:rFonts w:ascii="Arial" w:hAnsi="Arial" w:cs="Arial"/>
          <w:b/>
          <w:bCs/>
        </w:rPr>
        <w:t>C</w:t>
      </w:r>
      <w:r w:rsidR="00D749D1" w:rsidRPr="00725306">
        <w:rPr>
          <w:rFonts w:ascii="Arial" w:hAnsi="Arial" w:cs="Arial"/>
          <w:b/>
          <w:bCs/>
        </w:rPr>
        <w:t>omité</w:t>
      </w:r>
      <w:r w:rsidRPr="00725306">
        <w:rPr>
          <w:rFonts w:ascii="Arial" w:hAnsi="Arial" w:cs="Arial"/>
          <w:b/>
          <w:bCs/>
        </w:rPr>
        <w:t xml:space="preserve"> es </w:t>
      </w:r>
      <w:r w:rsidR="00927681" w:rsidRPr="00725306">
        <w:rPr>
          <w:rFonts w:ascii="Arial" w:hAnsi="Arial" w:cs="Arial"/>
          <w:b/>
          <w:bCs/>
        </w:rPr>
        <w:t>promover</w:t>
      </w:r>
      <w:r w:rsidRPr="00725306">
        <w:rPr>
          <w:rFonts w:ascii="Arial" w:hAnsi="Arial" w:cs="Arial"/>
          <w:b/>
          <w:bCs/>
        </w:rPr>
        <w:t xml:space="preserve"> el conocimiento de las reacciones anafilácticas para avanzar en el manejo apropiado de los pacientes </w:t>
      </w:r>
      <w:r w:rsidR="00927681" w:rsidRPr="00725306">
        <w:rPr>
          <w:rFonts w:ascii="Arial" w:hAnsi="Arial" w:cs="Arial"/>
          <w:b/>
          <w:bCs/>
        </w:rPr>
        <w:t>y engranar de forma transversal todos los temas relacionados con la anafilaxia</w:t>
      </w:r>
    </w:p>
    <w:p w14:paraId="55DD8B72" w14:textId="77777777" w:rsidR="00753B9F" w:rsidRPr="00725306" w:rsidRDefault="00753B9F" w:rsidP="00725306">
      <w:pPr>
        <w:pStyle w:val="Prrafodelista"/>
        <w:jc w:val="both"/>
        <w:rPr>
          <w:rFonts w:ascii="Arial" w:hAnsi="Arial" w:cs="Arial"/>
          <w:b/>
          <w:bCs/>
        </w:rPr>
      </w:pPr>
    </w:p>
    <w:p w14:paraId="29C31444" w14:textId="3BF91D80" w:rsidR="002E6489" w:rsidRPr="00725306" w:rsidRDefault="00B36FDD" w:rsidP="006F7CD6">
      <w:pPr>
        <w:pStyle w:val="Prrafodelista"/>
        <w:numPr>
          <w:ilvl w:val="0"/>
          <w:numId w:val="1"/>
        </w:numPr>
        <w:jc w:val="both"/>
        <w:rPr>
          <w:rFonts w:ascii="Arial" w:hAnsi="Arial" w:cs="Arial"/>
          <w:b/>
          <w:bCs/>
        </w:rPr>
      </w:pPr>
      <w:r w:rsidRPr="00725306">
        <w:rPr>
          <w:rFonts w:ascii="Arial" w:hAnsi="Arial" w:cs="Arial"/>
          <w:b/>
          <w:bCs/>
        </w:rPr>
        <w:t>La SEAIC manifiesta la importancia de que l</w:t>
      </w:r>
      <w:r w:rsidR="006F7CD6" w:rsidRPr="00725306">
        <w:rPr>
          <w:rFonts w:ascii="Arial" w:hAnsi="Arial" w:cs="Arial"/>
          <w:b/>
          <w:bCs/>
        </w:rPr>
        <w:t xml:space="preserve">os individuos en riesgo de sufrir una reacción </w:t>
      </w:r>
      <w:r w:rsidRPr="00725306">
        <w:rPr>
          <w:rFonts w:ascii="Arial" w:hAnsi="Arial" w:cs="Arial"/>
          <w:b/>
          <w:bCs/>
        </w:rPr>
        <w:t>dispongan</w:t>
      </w:r>
      <w:r w:rsidR="006F7CD6" w:rsidRPr="00725306">
        <w:rPr>
          <w:rFonts w:ascii="Arial" w:hAnsi="Arial" w:cs="Arial"/>
          <w:b/>
          <w:bCs/>
        </w:rPr>
        <w:t xml:space="preserve"> de </w:t>
      </w:r>
      <w:proofErr w:type="spellStart"/>
      <w:r w:rsidR="002E6489" w:rsidRPr="00725306">
        <w:rPr>
          <w:rFonts w:ascii="Arial" w:hAnsi="Arial" w:cs="Arial"/>
          <w:b/>
          <w:bCs/>
        </w:rPr>
        <w:t>autoinyectores</w:t>
      </w:r>
      <w:proofErr w:type="spellEnd"/>
      <w:r w:rsidR="006F7CD6" w:rsidRPr="00725306">
        <w:rPr>
          <w:rFonts w:ascii="Arial" w:hAnsi="Arial" w:cs="Arial"/>
          <w:b/>
          <w:bCs/>
        </w:rPr>
        <w:t xml:space="preserve">, </w:t>
      </w:r>
      <w:r w:rsidRPr="00725306">
        <w:rPr>
          <w:rFonts w:ascii="Arial" w:hAnsi="Arial" w:cs="Arial"/>
          <w:b/>
          <w:bCs/>
        </w:rPr>
        <w:t xml:space="preserve">ya que </w:t>
      </w:r>
      <w:r w:rsidR="006F7CD6" w:rsidRPr="00725306">
        <w:rPr>
          <w:rFonts w:ascii="Arial" w:hAnsi="Arial" w:cs="Arial"/>
          <w:b/>
          <w:bCs/>
        </w:rPr>
        <w:t xml:space="preserve">el coste actual dificulta su adquisición. </w:t>
      </w:r>
      <w:r w:rsidRPr="00725306">
        <w:rPr>
          <w:rFonts w:ascii="Arial" w:hAnsi="Arial" w:cs="Arial"/>
          <w:b/>
          <w:bCs/>
        </w:rPr>
        <w:t xml:space="preserve">Advierten que </w:t>
      </w:r>
      <w:r w:rsidR="002E6489" w:rsidRPr="00725306">
        <w:rPr>
          <w:rFonts w:ascii="Arial" w:hAnsi="Arial" w:cs="Arial"/>
          <w:b/>
          <w:bCs/>
        </w:rPr>
        <w:t>deberían ser medicamentos de aportación reducida, para asegurar su disponibilidad independientemente de la capacidad económica del afectado</w:t>
      </w:r>
    </w:p>
    <w:p w14:paraId="1B25F977" w14:textId="627454BA" w:rsidR="00336A05" w:rsidRPr="00725306" w:rsidRDefault="009C1501" w:rsidP="00724DF6">
      <w:pPr>
        <w:jc w:val="both"/>
        <w:rPr>
          <w:rFonts w:ascii="Arial" w:hAnsi="Arial" w:cs="Arial"/>
        </w:rPr>
      </w:pPr>
      <w:r w:rsidRPr="00725306">
        <w:rPr>
          <w:rFonts w:ascii="Arial" w:hAnsi="Arial" w:cs="Arial"/>
          <w:b/>
          <w:bCs/>
        </w:rPr>
        <w:t xml:space="preserve">Madrid, </w:t>
      </w:r>
      <w:r w:rsidR="009C44DD">
        <w:rPr>
          <w:rFonts w:ascii="Arial" w:hAnsi="Arial" w:cs="Arial"/>
          <w:b/>
          <w:bCs/>
        </w:rPr>
        <w:t>22</w:t>
      </w:r>
      <w:r w:rsidR="008F5451" w:rsidRPr="00725306">
        <w:rPr>
          <w:rFonts w:ascii="Arial" w:hAnsi="Arial" w:cs="Arial"/>
          <w:b/>
          <w:bCs/>
        </w:rPr>
        <w:t xml:space="preserve"> </w:t>
      </w:r>
      <w:r w:rsidRPr="00725306">
        <w:rPr>
          <w:rFonts w:ascii="Arial" w:hAnsi="Arial" w:cs="Arial"/>
          <w:b/>
          <w:bCs/>
        </w:rPr>
        <w:t>de febrero de 2023. –</w:t>
      </w:r>
      <w:r w:rsidRPr="00725306">
        <w:rPr>
          <w:rFonts w:ascii="Arial" w:hAnsi="Arial" w:cs="Arial"/>
        </w:rPr>
        <w:t xml:space="preserve"> La anafilaxia es </w:t>
      </w:r>
      <w:r w:rsidR="008A6C24" w:rsidRPr="00725306">
        <w:rPr>
          <w:rFonts w:ascii="Arial" w:hAnsi="Arial" w:cs="Arial"/>
        </w:rPr>
        <w:t>la</w:t>
      </w:r>
      <w:r w:rsidRPr="00725306">
        <w:rPr>
          <w:rFonts w:ascii="Arial" w:hAnsi="Arial" w:cs="Arial"/>
        </w:rPr>
        <w:t xml:space="preserve"> reacción alérgica más grave</w:t>
      </w:r>
      <w:r w:rsidR="00B90688" w:rsidRPr="00725306">
        <w:rPr>
          <w:rFonts w:ascii="Arial" w:hAnsi="Arial" w:cs="Arial"/>
        </w:rPr>
        <w:t xml:space="preserve"> de instauración rápida y potencialmente mortal</w:t>
      </w:r>
      <w:r w:rsidR="007C3F0F" w:rsidRPr="00725306">
        <w:rPr>
          <w:rFonts w:ascii="Arial" w:hAnsi="Arial" w:cs="Arial"/>
        </w:rPr>
        <w:t>;</w:t>
      </w:r>
      <w:r w:rsidR="00B90688" w:rsidRPr="00725306">
        <w:rPr>
          <w:rFonts w:ascii="Arial" w:hAnsi="Arial" w:cs="Arial"/>
        </w:rPr>
        <w:t xml:space="preserve"> </w:t>
      </w:r>
      <w:r w:rsidR="007C3F0F" w:rsidRPr="00725306">
        <w:rPr>
          <w:rFonts w:ascii="Arial" w:hAnsi="Arial" w:cs="Arial"/>
        </w:rPr>
        <w:t>e</w:t>
      </w:r>
      <w:r w:rsidR="00B90688" w:rsidRPr="00725306">
        <w:rPr>
          <w:rFonts w:ascii="Arial" w:hAnsi="Arial" w:cs="Arial"/>
        </w:rPr>
        <w:t xml:space="preserve">ntre </w:t>
      </w:r>
      <w:r w:rsidR="007C3F0F" w:rsidRPr="00725306">
        <w:rPr>
          <w:rFonts w:ascii="Arial" w:hAnsi="Arial" w:cs="Arial"/>
        </w:rPr>
        <w:t>sus</w:t>
      </w:r>
      <w:r w:rsidR="00B90688" w:rsidRPr="00725306">
        <w:rPr>
          <w:rFonts w:ascii="Arial" w:hAnsi="Arial" w:cs="Arial"/>
        </w:rPr>
        <w:t xml:space="preserve"> síntomas más comunes destacan </w:t>
      </w:r>
      <w:r w:rsidR="009D7B2F" w:rsidRPr="00725306">
        <w:rPr>
          <w:rFonts w:ascii="Arial" w:hAnsi="Arial" w:cs="Arial"/>
        </w:rPr>
        <w:t>la insuficiencia respiratoria o cardiovascular</w:t>
      </w:r>
      <w:r w:rsidR="00C47CE0" w:rsidRPr="00725306">
        <w:rPr>
          <w:rFonts w:ascii="Arial" w:hAnsi="Arial" w:cs="Arial"/>
        </w:rPr>
        <w:t xml:space="preserve">. Según la </w:t>
      </w:r>
      <w:hyperlink r:id="rId7" w:history="1">
        <w:r w:rsidR="00C47CE0" w:rsidRPr="00725306">
          <w:rPr>
            <w:rStyle w:val="Hipervnculo"/>
            <w:rFonts w:ascii="Arial" w:hAnsi="Arial" w:cs="Arial"/>
          </w:rPr>
          <w:t>Guía de actuación G</w:t>
        </w:r>
        <w:r w:rsidR="003A52F0" w:rsidRPr="00725306">
          <w:rPr>
            <w:rStyle w:val="Hipervnculo"/>
            <w:rFonts w:ascii="Arial" w:hAnsi="Arial" w:cs="Arial"/>
          </w:rPr>
          <w:t>ALAXIA</w:t>
        </w:r>
        <w:r w:rsidR="00C47CE0" w:rsidRPr="00725306">
          <w:rPr>
            <w:rStyle w:val="Hipervnculo"/>
            <w:rFonts w:ascii="Arial" w:hAnsi="Arial" w:cs="Arial"/>
          </w:rPr>
          <w:t xml:space="preserve"> 2022</w:t>
        </w:r>
      </w:hyperlink>
      <w:r w:rsidR="00C47CE0" w:rsidRPr="00725306">
        <w:rPr>
          <w:rFonts w:ascii="Arial" w:hAnsi="Arial" w:cs="Arial"/>
        </w:rPr>
        <w:t xml:space="preserve">, las causas más frecuentes de la anafilaxia son los alimentos, </w:t>
      </w:r>
      <w:r w:rsidR="008F5451" w:rsidRPr="00725306">
        <w:rPr>
          <w:rFonts w:ascii="Arial" w:hAnsi="Arial" w:cs="Arial"/>
        </w:rPr>
        <w:t xml:space="preserve">los </w:t>
      </w:r>
      <w:r w:rsidR="00C47CE0" w:rsidRPr="00725306">
        <w:rPr>
          <w:rFonts w:ascii="Arial" w:hAnsi="Arial" w:cs="Arial"/>
        </w:rPr>
        <w:t xml:space="preserve">fármacos y </w:t>
      </w:r>
      <w:r w:rsidR="008F5451" w:rsidRPr="00725306">
        <w:rPr>
          <w:rFonts w:ascii="Arial" w:hAnsi="Arial" w:cs="Arial"/>
        </w:rPr>
        <w:t xml:space="preserve">las </w:t>
      </w:r>
      <w:r w:rsidR="00C47CE0" w:rsidRPr="00725306">
        <w:rPr>
          <w:rFonts w:ascii="Arial" w:hAnsi="Arial" w:cs="Arial"/>
        </w:rPr>
        <w:t xml:space="preserve">picaduras de insectos, </w:t>
      </w:r>
      <w:r w:rsidR="007C3F0F" w:rsidRPr="00725306">
        <w:rPr>
          <w:rFonts w:ascii="Arial" w:hAnsi="Arial" w:cs="Arial"/>
        </w:rPr>
        <w:t>especialmente</w:t>
      </w:r>
      <w:r w:rsidR="00C47CE0" w:rsidRPr="00725306">
        <w:rPr>
          <w:rFonts w:ascii="Arial" w:hAnsi="Arial" w:cs="Arial"/>
        </w:rPr>
        <w:t xml:space="preserve"> himenópteros. </w:t>
      </w:r>
      <w:r w:rsidR="00CA7204" w:rsidRPr="00725306">
        <w:rPr>
          <w:rFonts w:ascii="Arial" w:hAnsi="Arial" w:cs="Arial"/>
        </w:rPr>
        <w:t>El tratamiento</w:t>
      </w:r>
      <w:r w:rsidR="007C3F0F" w:rsidRPr="00725306">
        <w:rPr>
          <w:rFonts w:ascii="Arial" w:hAnsi="Arial" w:cs="Arial"/>
        </w:rPr>
        <w:t xml:space="preserve"> que permite abordar ágilmente</w:t>
      </w:r>
      <w:r w:rsidR="00CA7204" w:rsidRPr="00725306">
        <w:rPr>
          <w:rFonts w:ascii="Arial" w:hAnsi="Arial" w:cs="Arial"/>
        </w:rPr>
        <w:t xml:space="preserve"> esta reacción es la adrenalina intramuscular, que se administra a través de </w:t>
      </w:r>
      <w:proofErr w:type="spellStart"/>
      <w:r w:rsidR="00CA7204" w:rsidRPr="00725306">
        <w:rPr>
          <w:rFonts w:ascii="Arial" w:hAnsi="Arial" w:cs="Arial"/>
        </w:rPr>
        <w:t>autoinyectores</w:t>
      </w:r>
      <w:proofErr w:type="spellEnd"/>
      <w:r w:rsidR="00CA7204" w:rsidRPr="00725306">
        <w:rPr>
          <w:rFonts w:ascii="Arial" w:hAnsi="Arial" w:cs="Arial"/>
        </w:rPr>
        <w:t xml:space="preserve">. </w:t>
      </w:r>
    </w:p>
    <w:p w14:paraId="6598A38F" w14:textId="7862F673" w:rsidR="003E506A" w:rsidRPr="00725306" w:rsidRDefault="00EA0AA2" w:rsidP="00724DF6">
      <w:pPr>
        <w:jc w:val="both"/>
        <w:rPr>
          <w:rFonts w:ascii="Arial" w:hAnsi="Arial" w:cs="Arial"/>
        </w:rPr>
      </w:pPr>
      <w:r w:rsidRPr="00725306">
        <w:rPr>
          <w:rFonts w:ascii="Arial" w:hAnsi="Arial" w:cs="Arial"/>
        </w:rPr>
        <w:t xml:space="preserve">De acuerdo con el estudio epidemiológico más amplio sobre anafilaxia publicado en España, se estima que en los últimos años se ha producido un incremento en el número de hospitalizaciones por anafilaxia. En España se calcula que existe una incidencia de anafilaxia de más de 103 episodios por 100.000 personas/año. </w:t>
      </w:r>
      <w:bookmarkStart w:id="0" w:name="_Hlk127276023"/>
      <w:r w:rsidRPr="00725306">
        <w:rPr>
          <w:rFonts w:ascii="Arial" w:hAnsi="Arial" w:cs="Arial"/>
        </w:rPr>
        <w:t xml:space="preserve">Y concretamente, </w:t>
      </w:r>
      <w:r w:rsidR="00234B9C" w:rsidRPr="00725306">
        <w:rPr>
          <w:rFonts w:ascii="Arial" w:hAnsi="Arial" w:cs="Arial"/>
        </w:rPr>
        <w:t>los grupos de edad entre 0 y 4 años</w:t>
      </w:r>
      <w:r w:rsidR="00C81CE7" w:rsidRPr="00725306">
        <w:rPr>
          <w:rFonts w:ascii="Arial" w:hAnsi="Arial" w:cs="Arial"/>
        </w:rPr>
        <w:t xml:space="preserve"> tienen</w:t>
      </w:r>
      <w:r w:rsidR="00234B9C" w:rsidRPr="00725306">
        <w:rPr>
          <w:rFonts w:ascii="Arial" w:hAnsi="Arial" w:cs="Arial"/>
        </w:rPr>
        <w:t xml:space="preserve"> </w:t>
      </w:r>
      <w:r w:rsidR="00C81CE7" w:rsidRPr="00725306">
        <w:rPr>
          <w:rFonts w:ascii="Arial" w:hAnsi="Arial" w:cs="Arial"/>
        </w:rPr>
        <w:t>una</w:t>
      </w:r>
      <w:r w:rsidR="00234B9C" w:rsidRPr="00725306">
        <w:rPr>
          <w:rFonts w:ascii="Arial" w:hAnsi="Arial" w:cs="Arial"/>
        </w:rPr>
        <w:t xml:space="preserve"> incidencia tres veces superior</w:t>
      </w:r>
      <w:r w:rsidR="00C81CE7" w:rsidRPr="00725306">
        <w:rPr>
          <w:rFonts w:ascii="Arial" w:hAnsi="Arial" w:cs="Arial"/>
        </w:rPr>
        <w:t xml:space="preserve">, </w:t>
      </w:r>
      <w:bookmarkEnd w:id="0"/>
      <w:r w:rsidRPr="00725306">
        <w:rPr>
          <w:rFonts w:ascii="Arial" w:hAnsi="Arial" w:cs="Arial"/>
        </w:rPr>
        <w:t xml:space="preserve">siendo </w:t>
      </w:r>
      <w:r w:rsidR="00C81CE7" w:rsidRPr="00725306">
        <w:rPr>
          <w:rFonts w:ascii="Arial" w:hAnsi="Arial" w:cs="Arial"/>
        </w:rPr>
        <w:t xml:space="preserve">principalmente elevada durante los dos primeros años de vida. </w:t>
      </w:r>
    </w:p>
    <w:p w14:paraId="74CE32AA" w14:textId="2A47FD0F" w:rsidR="00927681" w:rsidRPr="00725306" w:rsidRDefault="00EA0AA2" w:rsidP="00927681">
      <w:pPr>
        <w:jc w:val="both"/>
        <w:rPr>
          <w:rFonts w:ascii="Arial" w:hAnsi="Arial" w:cs="Arial"/>
          <w:b/>
          <w:bCs/>
        </w:rPr>
      </w:pPr>
      <w:r w:rsidRPr="00725306">
        <w:rPr>
          <w:rFonts w:ascii="Arial" w:hAnsi="Arial" w:cs="Arial"/>
        </w:rPr>
        <w:t>Con el objetivo de promover un mejor abordaje de las reacciones anafilácticas de los pacientes</w:t>
      </w:r>
      <w:r w:rsidR="00694DA1" w:rsidRPr="00725306">
        <w:rPr>
          <w:rFonts w:ascii="Arial" w:hAnsi="Arial" w:cs="Arial"/>
        </w:rPr>
        <w:t xml:space="preserve"> y engranar de forma transversal todos los temas referentes a esta reacción</w:t>
      </w:r>
      <w:r w:rsidR="005308A2" w:rsidRPr="00725306">
        <w:rPr>
          <w:rFonts w:ascii="Arial" w:hAnsi="Arial" w:cs="Arial"/>
        </w:rPr>
        <w:t xml:space="preserve">, </w:t>
      </w:r>
      <w:r w:rsidR="003E506A" w:rsidRPr="00725306">
        <w:rPr>
          <w:rFonts w:ascii="Arial" w:hAnsi="Arial" w:cs="Arial"/>
        </w:rPr>
        <w:t>la Sociedad Española de Alergología e Inmunología Clínica</w:t>
      </w:r>
      <w:r w:rsidR="007C3F0F" w:rsidRPr="00725306">
        <w:rPr>
          <w:rFonts w:ascii="Arial" w:hAnsi="Arial" w:cs="Arial"/>
        </w:rPr>
        <w:t xml:space="preserve"> </w:t>
      </w:r>
      <w:r w:rsidR="003E506A" w:rsidRPr="00725306">
        <w:rPr>
          <w:rFonts w:ascii="Arial" w:hAnsi="Arial" w:cs="Arial"/>
        </w:rPr>
        <w:t xml:space="preserve">(SEAIC), </w:t>
      </w:r>
      <w:bookmarkStart w:id="1" w:name="_Hlk127275220"/>
      <w:r w:rsidRPr="00725306">
        <w:rPr>
          <w:rFonts w:ascii="Arial" w:hAnsi="Arial" w:cs="Arial"/>
        </w:rPr>
        <w:t>ha creado</w:t>
      </w:r>
      <w:r w:rsidR="003E506A" w:rsidRPr="00725306">
        <w:rPr>
          <w:rFonts w:ascii="Arial" w:hAnsi="Arial" w:cs="Arial"/>
        </w:rPr>
        <w:t xml:space="preserve"> un Comité de Anafilaxia</w:t>
      </w:r>
      <w:r w:rsidR="00927681" w:rsidRPr="00725306">
        <w:rPr>
          <w:rFonts w:ascii="Arial" w:hAnsi="Arial" w:cs="Arial"/>
        </w:rPr>
        <w:t xml:space="preserve">. </w:t>
      </w:r>
      <w:r w:rsidR="00927681" w:rsidRPr="00725306">
        <w:rPr>
          <w:rFonts w:ascii="Arial" w:hAnsi="Arial" w:cs="Arial"/>
          <w:i/>
          <w:iCs/>
        </w:rPr>
        <w:t xml:space="preserve">“Con la creación de este Comité, formado por un grupo de trabajo de veinticuatro personas con gran interés en el tema, trataremos de promover el conocimiento de </w:t>
      </w:r>
      <w:proofErr w:type="gramStart"/>
      <w:r w:rsidR="00927681" w:rsidRPr="00725306">
        <w:rPr>
          <w:rFonts w:ascii="Arial" w:hAnsi="Arial" w:cs="Arial"/>
          <w:i/>
          <w:iCs/>
        </w:rPr>
        <w:t>la reacciones anafilácticas</w:t>
      </w:r>
      <w:proofErr w:type="gramEnd"/>
      <w:r w:rsidR="00927681" w:rsidRPr="00725306">
        <w:rPr>
          <w:rFonts w:ascii="Arial" w:hAnsi="Arial" w:cs="Arial"/>
          <w:i/>
          <w:iCs/>
        </w:rPr>
        <w:t>, para avanzar así en el manejo apropiado de los pacientes que hayan sufrido o estén en riesgo de presentar una anafilaxia. Para ello, se están llevando a cabo varias líneas de trabajo, entre las que destacan la promoción de la Guía GALAXIA y la realización de actividades docentes sobre anafilaxia a múltiples colectivos: profesionales sanitarios, pacientes y familiares y profesionales de centros de educación</w:t>
      </w:r>
      <w:r w:rsidR="00694DA1" w:rsidRPr="00725306">
        <w:rPr>
          <w:rFonts w:ascii="Arial" w:hAnsi="Arial" w:cs="Arial"/>
          <w:i/>
          <w:iCs/>
        </w:rPr>
        <w:t>, etc.”</w:t>
      </w:r>
      <w:r w:rsidR="00927681" w:rsidRPr="00725306">
        <w:rPr>
          <w:rFonts w:ascii="Arial" w:hAnsi="Arial" w:cs="Arial"/>
        </w:rPr>
        <w:t xml:space="preserve">, explica </w:t>
      </w:r>
      <w:r w:rsidR="00927681" w:rsidRPr="00725306">
        <w:rPr>
          <w:rFonts w:ascii="Arial" w:hAnsi="Arial" w:cs="Arial"/>
          <w:b/>
          <w:bCs/>
        </w:rPr>
        <w:t xml:space="preserve">la doctora </w:t>
      </w:r>
      <w:proofErr w:type="spellStart"/>
      <w:r w:rsidR="00927681" w:rsidRPr="00725306">
        <w:rPr>
          <w:rFonts w:ascii="Arial" w:hAnsi="Arial" w:cs="Arial"/>
          <w:b/>
          <w:bCs/>
        </w:rPr>
        <w:t>Victòria</w:t>
      </w:r>
      <w:proofErr w:type="spellEnd"/>
      <w:r w:rsidR="00927681" w:rsidRPr="00725306">
        <w:rPr>
          <w:rFonts w:ascii="Arial" w:hAnsi="Arial" w:cs="Arial"/>
          <w:b/>
          <w:bCs/>
        </w:rPr>
        <w:t xml:space="preserve"> Cardona, presidenta del Comité de Anafilaxia de la SEAIC y alergóloga del Hospital Vall </w:t>
      </w:r>
      <w:proofErr w:type="spellStart"/>
      <w:r w:rsidR="00927681" w:rsidRPr="00725306">
        <w:rPr>
          <w:rFonts w:ascii="Arial" w:hAnsi="Arial" w:cs="Arial"/>
          <w:b/>
          <w:bCs/>
        </w:rPr>
        <w:t>d’Hebron</w:t>
      </w:r>
      <w:proofErr w:type="spellEnd"/>
      <w:r w:rsidR="00927681" w:rsidRPr="00725306">
        <w:rPr>
          <w:rFonts w:ascii="Arial" w:hAnsi="Arial" w:cs="Arial"/>
          <w:b/>
          <w:bCs/>
        </w:rPr>
        <w:t>.</w:t>
      </w:r>
    </w:p>
    <w:bookmarkEnd w:id="1"/>
    <w:p w14:paraId="44664E6F" w14:textId="77777777" w:rsidR="00725306" w:rsidRDefault="00725306" w:rsidP="00724DF6">
      <w:pPr>
        <w:jc w:val="both"/>
        <w:rPr>
          <w:rFonts w:ascii="Arial" w:hAnsi="Arial" w:cs="Arial"/>
        </w:rPr>
      </w:pPr>
    </w:p>
    <w:p w14:paraId="421A9271" w14:textId="77777777" w:rsidR="00725306" w:rsidRDefault="00725306" w:rsidP="00724DF6">
      <w:pPr>
        <w:jc w:val="both"/>
        <w:rPr>
          <w:rFonts w:ascii="Arial" w:hAnsi="Arial" w:cs="Arial"/>
        </w:rPr>
      </w:pPr>
    </w:p>
    <w:p w14:paraId="7EACC91A" w14:textId="23DBCB7F" w:rsidR="00ED6E98" w:rsidRPr="00725306" w:rsidRDefault="00694DA1" w:rsidP="00724DF6">
      <w:pPr>
        <w:jc w:val="both"/>
        <w:rPr>
          <w:rFonts w:ascii="Arial" w:hAnsi="Arial" w:cs="Arial"/>
        </w:rPr>
      </w:pPr>
      <w:r w:rsidRPr="00725306">
        <w:rPr>
          <w:rFonts w:ascii="Arial" w:hAnsi="Arial" w:cs="Arial"/>
        </w:rPr>
        <w:t>En este sentido, la experta señala que “en la Sociedad hemos ido gestionando los asuntos relacionados con la anafilaxia a través de diversos comités, como, por ejemplo, el de Alergia a Alimentos, Medicamentos o Himenópteros”, añade.</w:t>
      </w:r>
    </w:p>
    <w:p w14:paraId="50BF4460" w14:textId="77777777" w:rsidR="00725306" w:rsidRDefault="00725306" w:rsidP="00724DF6">
      <w:pPr>
        <w:jc w:val="both"/>
        <w:rPr>
          <w:rFonts w:ascii="Arial" w:hAnsi="Arial" w:cs="Arial"/>
          <w:b/>
          <w:bCs/>
        </w:rPr>
      </w:pPr>
    </w:p>
    <w:p w14:paraId="11FC66E2" w14:textId="1070C196" w:rsidR="00694DA1" w:rsidRPr="00725306" w:rsidRDefault="00694DA1" w:rsidP="00724DF6">
      <w:pPr>
        <w:jc w:val="both"/>
        <w:rPr>
          <w:rFonts w:ascii="Arial" w:hAnsi="Arial" w:cs="Arial"/>
          <w:b/>
          <w:bCs/>
        </w:rPr>
      </w:pPr>
      <w:r w:rsidRPr="00725306">
        <w:rPr>
          <w:rFonts w:ascii="Arial" w:hAnsi="Arial" w:cs="Arial"/>
          <w:b/>
          <w:bCs/>
        </w:rPr>
        <w:t xml:space="preserve">Los </w:t>
      </w:r>
      <w:proofErr w:type="spellStart"/>
      <w:r w:rsidRPr="00725306">
        <w:rPr>
          <w:rFonts w:ascii="Arial" w:hAnsi="Arial" w:cs="Arial"/>
          <w:b/>
          <w:bCs/>
        </w:rPr>
        <w:t>autoinyectores</w:t>
      </w:r>
      <w:proofErr w:type="spellEnd"/>
      <w:r w:rsidRPr="00725306">
        <w:rPr>
          <w:rFonts w:ascii="Arial" w:hAnsi="Arial" w:cs="Arial"/>
          <w:b/>
          <w:bCs/>
        </w:rPr>
        <w:t xml:space="preserve"> de adrenalina (AIA): una necesidad con un alto precio</w:t>
      </w:r>
    </w:p>
    <w:p w14:paraId="5D7CD4FD" w14:textId="325375CD" w:rsidR="00694DA1" w:rsidRPr="00725306" w:rsidRDefault="00206A06" w:rsidP="00ED6E98">
      <w:pPr>
        <w:jc w:val="both"/>
        <w:rPr>
          <w:rFonts w:ascii="Arial" w:hAnsi="Arial" w:cs="Arial"/>
        </w:rPr>
      </w:pPr>
      <w:r w:rsidRPr="00725306">
        <w:rPr>
          <w:rFonts w:ascii="Arial" w:hAnsi="Arial" w:cs="Arial"/>
        </w:rPr>
        <w:t xml:space="preserve">Uno de los puntos clave </w:t>
      </w:r>
      <w:r w:rsidR="00694DA1" w:rsidRPr="00725306">
        <w:rPr>
          <w:rFonts w:ascii="Arial" w:hAnsi="Arial" w:cs="Arial"/>
        </w:rPr>
        <w:t>para la SEAIC, y concretamente para el Comité de Anafilaxia,</w:t>
      </w:r>
      <w:r w:rsidR="00E332E5" w:rsidRPr="00725306">
        <w:rPr>
          <w:rFonts w:ascii="Arial" w:hAnsi="Arial" w:cs="Arial"/>
        </w:rPr>
        <w:t xml:space="preserve"> es la financiación de los </w:t>
      </w:r>
      <w:proofErr w:type="spellStart"/>
      <w:r w:rsidR="00E332E5" w:rsidRPr="00725306">
        <w:rPr>
          <w:rFonts w:ascii="Arial" w:hAnsi="Arial" w:cs="Arial"/>
        </w:rPr>
        <w:t>autoinyectores</w:t>
      </w:r>
      <w:proofErr w:type="spellEnd"/>
      <w:r w:rsidR="00E332E5" w:rsidRPr="00725306">
        <w:rPr>
          <w:rFonts w:ascii="Arial" w:hAnsi="Arial" w:cs="Arial"/>
        </w:rPr>
        <w:t xml:space="preserve"> de adrenalina.</w:t>
      </w:r>
      <w:r w:rsidR="00801FF3" w:rsidRPr="00725306">
        <w:rPr>
          <w:rFonts w:ascii="Arial" w:hAnsi="Arial" w:cs="Arial"/>
        </w:rPr>
        <w:t xml:space="preserve"> Las guías de práctica nacionales e internacionales recomiendan que cualquier paciente que haya sufrido una anafilaxia debe llevar consigo un dispositivo con adrenalina para su inmediata inyección intramuscular en caso de una nueva reacción</w:t>
      </w:r>
      <w:r w:rsidR="00ED6E98" w:rsidRPr="00725306">
        <w:rPr>
          <w:rFonts w:ascii="Arial" w:hAnsi="Arial" w:cs="Arial"/>
        </w:rPr>
        <w:t xml:space="preserve">. Sin embargo, </w:t>
      </w:r>
      <w:r w:rsidR="00E332E5" w:rsidRPr="00725306">
        <w:rPr>
          <w:rFonts w:ascii="Arial" w:hAnsi="Arial" w:cs="Arial"/>
        </w:rPr>
        <w:t xml:space="preserve">su coste actual dificulta a </w:t>
      </w:r>
      <w:r w:rsidR="00694DA1" w:rsidRPr="00725306">
        <w:rPr>
          <w:rFonts w:ascii="Arial" w:hAnsi="Arial" w:cs="Arial"/>
        </w:rPr>
        <w:t xml:space="preserve">los </w:t>
      </w:r>
      <w:r w:rsidR="00E332E5" w:rsidRPr="00725306">
        <w:rPr>
          <w:rFonts w:ascii="Arial" w:hAnsi="Arial" w:cs="Arial"/>
        </w:rPr>
        <w:t>pacientes y</w:t>
      </w:r>
      <w:r w:rsidR="00694DA1" w:rsidRPr="00725306">
        <w:rPr>
          <w:rFonts w:ascii="Arial" w:hAnsi="Arial" w:cs="Arial"/>
        </w:rPr>
        <w:t xml:space="preserve"> a sus</w:t>
      </w:r>
      <w:r w:rsidR="00E332E5" w:rsidRPr="00725306">
        <w:rPr>
          <w:rFonts w:ascii="Arial" w:hAnsi="Arial" w:cs="Arial"/>
        </w:rPr>
        <w:t xml:space="preserve"> familias su adquisición</w:t>
      </w:r>
      <w:r w:rsidR="00ED6E98" w:rsidRPr="00725306">
        <w:rPr>
          <w:rFonts w:ascii="Arial" w:hAnsi="Arial" w:cs="Arial"/>
        </w:rPr>
        <w:t xml:space="preserve">. Desde la Sociedad consideramos que </w:t>
      </w:r>
      <w:r w:rsidR="00ED6E98" w:rsidRPr="00725306">
        <w:rPr>
          <w:rFonts w:ascii="Arial" w:hAnsi="Arial" w:cs="Arial"/>
          <w:i/>
          <w:iCs/>
        </w:rPr>
        <w:t>“el Ministerio de Sanidad debe incluir los AIA entre los medicamentos de aportación reducida, dada la cronicidad y gravedad de la patología por la que se prescriben”</w:t>
      </w:r>
      <w:r w:rsidR="00ED6E98" w:rsidRPr="00725306">
        <w:rPr>
          <w:rFonts w:ascii="Arial" w:hAnsi="Arial" w:cs="Arial"/>
        </w:rPr>
        <w:t>.</w:t>
      </w:r>
    </w:p>
    <w:p w14:paraId="59E6D844" w14:textId="7C4570B6" w:rsidR="00ED6E98" w:rsidRPr="00725306" w:rsidRDefault="00ED6E98" w:rsidP="00486492">
      <w:pPr>
        <w:jc w:val="both"/>
        <w:rPr>
          <w:rFonts w:ascii="Arial" w:hAnsi="Arial" w:cs="Arial"/>
        </w:rPr>
      </w:pPr>
      <w:r w:rsidRPr="00725306">
        <w:rPr>
          <w:rFonts w:ascii="Arial" w:hAnsi="Arial" w:cs="Arial"/>
        </w:rPr>
        <w:t xml:space="preserve">En este sentido, la SEAIC considera que </w:t>
      </w:r>
      <w:r w:rsidR="007C1467" w:rsidRPr="00725306">
        <w:rPr>
          <w:rFonts w:ascii="Arial" w:hAnsi="Arial" w:cs="Arial"/>
        </w:rPr>
        <w:t xml:space="preserve">la anafilaxia </w:t>
      </w:r>
      <w:r w:rsidRPr="00725306">
        <w:rPr>
          <w:rFonts w:ascii="Arial" w:hAnsi="Arial" w:cs="Arial"/>
        </w:rPr>
        <w:t xml:space="preserve">debe catalogarse como una </w:t>
      </w:r>
      <w:r w:rsidR="007C1467" w:rsidRPr="00725306">
        <w:rPr>
          <w:rFonts w:ascii="Arial" w:hAnsi="Arial" w:cs="Arial"/>
        </w:rPr>
        <w:t xml:space="preserve">enfermedad crónica, ya que el paciente </w:t>
      </w:r>
      <w:r w:rsidRPr="00725306">
        <w:rPr>
          <w:rFonts w:ascii="Arial" w:hAnsi="Arial" w:cs="Arial"/>
        </w:rPr>
        <w:t xml:space="preserve">que ha </w:t>
      </w:r>
      <w:proofErr w:type="gramStart"/>
      <w:r w:rsidRPr="00725306">
        <w:rPr>
          <w:rFonts w:ascii="Arial" w:hAnsi="Arial" w:cs="Arial"/>
        </w:rPr>
        <w:t>experimentado  una</w:t>
      </w:r>
      <w:proofErr w:type="gramEnd"/>
      <w:r w:rsidRPr="00725306">
        <w:rPr>
          <w:rFonts w:ascii="Arial" w:hAnsi="Arial" w:cs="Arial"/>
        </w:rPr>
        <w:t xml:space="preserve"> reacción anafiláctica siempre tendrá riesgo de sufrir otr</w:t>
      </w:r>
      <w:r w:rsidR="000B6D21" w:rsidRPr="00F949B7">
        <w:rPr>
          <w:rFonts w:ascii="Arial" w:hAnsi="Arial" w:cs="Arial"/>
          <w:iCs/>
        </w:rPr>
        <w:t>a anafilaxia.</w:t>
      </w:r>
    </w:p>
    <w:p w14:paraId="738B628A" w14:textId="03213749" w:rsidR="00715788" w:rsidRPr="00725306" w:rsidRDefault="003E3FD9" w:rsidP="00486492">
      <w:pPr>
        <w:jc w:val="both"/>
        <w:rPr>
          <w:rFonts w:ascii="Arial" w:hAnsi="Arial" w:cs="Arial"/>
        </w:rPr>
      </w:pPr>
      <w:r w:rsidRPr="00725306">
        <w:rPr>
          <w:rFonts w:ascii="Arial" w:hAnsi="Arial" w:cs="Arial"/>
        </w:rPr>
        <w:t xml:space="preserve">De este modo, la doctora </w:t>
      </w:r>
      <w:proofErr w:type="spellStart"/>
      <w:r w:rsidRPr="00725306">
        <w:rPr>
          <w:rFonts w:ascii="Arial" w:hAnsi="Arial" w:cs="Arial"/>
        </w:rPr>
        <w:t>Victòria</w:t>
      </w:r>
      <w:proofErr w:type="spellEnd"/>
      <w:r w:rsidRPr="00725306">
        <w:rPr>
          <w:rFonts w:ascii="Arial" w:hAnsi="Arial" w:cs="Arial"/>
        </w:rPr>
        <w:t xml:space="preserve"> Cardona sostiene que </w:t>
      </w:r>
      <w:r w:rsidRPr="00725306">
        <w:rPr>
          <w:rFonts w:ascii="Arial" w:hAnsi="Arial" w:cs="Arial"/>
          <w:i/>
          <w:iCs/>
        </w:rPr>
        <w:t xml:space="preserve">“los </w:t>
      </w:r>
      <w:proofErr w:type="spellStart"/>
      <w:r w:rsidRPr="00725306">
        <w:rPr>
          <w:rFonts w:ascii="Arial" w:hAnsi="Arial" w:cs="Arial"/>
          <w:i/>
          <w:iCs/>
        </w:rPr>
        <w:t>autoinyectores</w:t>
      </w:r>
      <w:proofErr w:type="spellEnd"/>
      <w:r w:rsidRPr="00725306">
        <w:rPr>
          <w:rFonts w:ascii="Arial" w:hAnsi="Arial" w:cs="Arial"/>
          <w:i/>
          <w:iCs/>
        </w:rPr>
        <w:t xml:space="preserve"> deberían ser medicamentos de aportación reducida, para asegurar su disponibilidad independientemente de la capacidad económica del afectado”.</w:t>
      </w:r>
    </w:p>
    <w:p w14:paraId="2C52A451" w14:textId="2C67ADCE" w:rsidR="00ED6E98" w:rsidRPr="00725306" w:rsidRDefault="00ED6E98" w:rsidP="00486492">
      <w:pPr>
        <w:jc w:val="both"/>
        <w:rPr>
          <w:rFonts w:ascii="Arial" w:hAnsi="Arial" w:cs="Arial"/>
        </w:rPr>
      </w:pPr>
      <w:r w:rsidRPr="00725306">
        <w:rPr>
          <w:rFonts w:ascii="Arial" w:hAnsi="Arial" w:cs="Arial"/>
        </w:rPr>
        <w:t xml:space="preserve">Por todo ello, la alergóloga insiste en que </w:t>
      </w:r>
      <w:r w:rsidRPr="00725306">
        <w:rPr>
          <w:rFonts w:ascii="Arial" w:hAnsi="Arial" w:cs="Arial"/>
          <w:i/>
          <w:iCs/>
        </w:rPr>
        <w:t>“es imprescindible que, por parte del Ministerio de Sanidad y de la Agencia Española del Medicamento y Productos Sanitarios (AEMPS), se adopten las medidas necesarias para garantizar un suministro seguro y estable de AIA a un precio razonable. Y así asegurar su disponibilidad independientemente de la capacidad económica del afectado o de su familia”.</w:t>
      </w:r>
    </w:p>
    <w:p w14:paraId="7E5DF03E" w14:textId="4C83C532" w:rsidR="002E6A05" w:rsidRPr="00725306" w:rsidRDefault="00486492" w:rsidP="002E6A05">
      <w:pPr>
        <w:jc w:val="both"/>
        <w:rPr>
          <w:rFonts w:ascii="Arial" w:hAnsi="Arial" w:cs="Arial"/>
        </w:rPr>
      </w:pPr>
      <w:r w:rsidRPr="00725306">
        <w:rPr>
          <w:rFonts w:ascii="Arial" w:hAnsi="Arial" w:cs="Arial"/>
        </w:rPr>
        <w:t xml:space="preserve">Si bien </w:t>
      </w:r>
      <w:r w:rsidR="00157772" w:rsidRPr="00725306">
        <w:rPr>
          <w:rFonts w:ascii="Arial" w:hAnsi="Arial" w:cs="Arial"/>
        </w:rPr>
        <w:t xml:space="preserve">el abordaje adecuado de la anafilaxia </w:t>
      </w:r>
      <w:r w:rsidR="00D97034" w:rsidRPr="00725306">
        <w:rPr>
          <w:rFonts w:ascii="Arial" w:hAnsi="Arial" w:cs="Arial"/>
        </w:rPr>
        <w:t>supone</w:t>
      </w:r>
      <w:r w:rsidR="00157772" w:rsidRPr="00725306">
        <w:rPr>
          <w:rFonts w:ascii="Arial" w:hAnsi="Arial" w:cs="Arial"/>
        </w:rPr>
        <w:t xml:space="preserve"> un reto,</w:t>
      </w:r>
      <w:r w:rsidR="000D748C" w:rsidRPr="00725306">
        <w:rPr>
          <w:rFonts w:ascii="Arial" w:hAnsi="Arial" w:cs="Arial"/>
        </w:rPr>
        <w:t xml:space="preserve"> un buen diagnóstico de la causa, la educación sobre cómo actuar para evitar o tratar nuevas reacciones, y el acompañamiento en el proceso resultan indispensables.</w:t>
      </w:r>
      <w:r w:rsidR="00BB3710" w:rsidRPr="00725306">
        <w:rPr>
          <w:rFonts w:ascii="Arial" w:hAnsi="Arial" w:cs="Arial"/>
        </w:rPr>
        <w:t xml:space="preserve"> </w:t>
      </w:r>
      <w:r w:rsidR="00080B56" w:rsidRPr="00725306">
        <w:rPr>
          <w:rFonts w:ascii="Arial" w:hAnsi="Arial" w:cs="Arial"/>
        </w:rPr>
        <w:t>Por ello d</w:t>
      </w:r>
      <w:r w:rsidR="002E6A05" w:rsidRPr="00725306">
        <w:rPr>
          <w:rFonts w:ascii="Arial" w:hAnsi="Arial" w:cs="Arial"/>
        </w:rPr>
        <w:t xml:space="preserve">esde el nuevo </w:t>
      </w:r>
      <w:r w:rsidR="00ED6E98" w:rsidRPr="00725306">
        <w:rPr>
          <w:rFonts w:ascii="Arial" w:hAnsi="Arial" w:cs="Arial"/>
        </w:rPr>
        <w:t>C</w:t>
      </w:r>
      <w:r w:rsidR="002E6A05" w:rsidRPr="00725306">
        <w:rPr>
          <w:rFonts w:ascii="Arial" w:hAnsi="Arial" w:cs="Arial"/>
        </w:rPr>
        <w:t>omité, se crea</w:t>
      </w:r>
      <w:r w:rsidR="00080B56" w:rsidRPr="00725306">
        <w:rPr>
          <w:rFonts w:ascii="Arial" w:hAnsi="Arial" w:cs="Arial"/>
        </w:rPr>
        <w:t>rán</w:t>
      </w:r>
      <w:r w:rsidR="002E6A05" w:rsidRPr="00725306">
        <w:rPr>
          <w:rFonts w:ascii="Arial" w:hAnsi="Arial" w:cs="Arial"/>
        </w:rPr>
        <w:t xml:space="preserve"> sinergias y </w:t>
      </w:r>
      <w:r w:rsidR="00080B56" w:rsidRPr="00725306">
        <w:rPr>
          <w:rFonts w:ascii="Arial" w:hAnsi="Arial" w:cs="Arial"/>
        </w:rPr>
        <w:t>se</w:t>
      </w:r>
      <w:r w:rsidR="002E6A05" w:rsidRPr="00725306">
        <w:rPr>
          <w:rFonts w:ascii="Arial" w:hAnsi="Arial" w:cs="Arial"/>
        </w:rPr>
        <w:t xml:space="preserve"> trabaj</w:t>
      </w:r>
      <w:r w:rsidR="00080B56" w:rsidRPr="00725306">
        <w:rPr>
          <w:rFonts w:ascii="Arial" w:hAnsi="Arial" w:cs="Arial"/>
        </w:rPr>
        <w:t>ará</w:t>
      </w:r>
      <w:r w:rsidR="002E6A05" w:rsidRPr="00725306">
        <w:rPr>
          <w:rFonts w:ascii="Arial" w:hAnsi="Arial" w:cs="Arial"/>
        </w:rPr>
        <w:t xml:space="preserve"> con otros grupos de la SEAIC, sociedades científicas y asociaciones de pacientes</w:t>
      </w:r>
      <w:r w:rsidR="00ED6E98" w:rsidRPr="00725306">
        <w:rPr>
          <w:rFonts w:ascii="Arial" w:hAnsi="Arial" w:cs="Arial"/>
        </w:rPr>
        <w:t xml:space="preserve"> </w:t>
      </w:r>
      <w:r w:rsidR="002E6A05" w:rsidRPr="00725306">
        <w:rPr>
          <w:rFonts w:ascii="Arial" w:hAnsi="Arial" w:cs="Arial"/>
        </w:rPr>
        <w:t xml:space="preserve">para </w:t>
      </w:r>
      <w:r w:rsidR="00C868A5" w:rsidRPr="00725306">
        <w:rPr>
          <w:rFonts w:ascii="Arial" w:hAnsi="Arial" w:cs="Arial"/>
        </w:rPr>
        <w:t>desarrollar</w:t>
      </w:r>
      <w:r w:rsidR="002E6A05" w:rsidRPr="00725306">
        <w:rPr>
          <w:rFonts w:ascii="Arial" w:hAnsi="Arial" w:cs="Arial"/>
        </w:rPr>
        <w:t xml:space="preserve"> proyectos exitosos, siempre centrados en la mejora de la atención del paciente. </w:t>
      </w:r>
    </w:p>
    <w:p w14:paraId="3D6CA05D" w14:textId="74D67D7F" w:rsidR="000D748C" w:rsidRDefault="000D748C" w:rsidP="00486492">
      <w:pPr>
        <w:jc w:val="both"/>
      </w:pPr>
    </w:p>
    <w:p w14:paraId="22A11B2F" w14:textId="77777777" w:rsidR="00396093" w:rsidRPr="00396093" w:rsidRDefault="00396093" w:rsidP="00396093">
      <w:pPr>
        <w:shd w:val="clear" w:color="auto" w:fill="FFFFFF"/>
        <w:spacing w:after="150" w:line="276" w:lineRule="auto"/>
        <w:jc w:val="both"/>
        <w:rPr>
          <w:rFonts w:ascii="Arial" w:eastAsia="Times New Roman" w:hAnsi="Arial" w:cs="Arial"/>
          <w:b/>
          <w:sz w:val="24"/>
          <w:szCs w:val="24"/>
          <w:lang w:eastAsia="es-ES"/>
        </w:rPr>
      </w:pPr>
    </w:p>
    <w:p w14:paraId="199C9C04" w14:textId="77777777" w:rsidR="00396093" w:rsidRPr="00396093" w:rsidRDefault="00396093" w:rsidP="00396093">
      <w:pPr>
        <w:spacing w:after="0" w:line="276" w:lineRule="auto"/>
        <w:jc w:val="both"/>
        <w:rPr>
          <w:rFonts w:ascii="Arial" w:eastAsia="Times New Roman" w:hAnsi="Arial" w:cs="Arial"/>
          <w:b/>
          <w:lang w:eastAsia="es-ES"/>
        </w:rPr>
      </w:pPr>
      <w:r w:rsidRPr="00396093">
        <w:rPr>
          <w:rFonts w:ascii="Arial" w:eastAsia="Times New Roman" w:hAnsi="Arial" w:cs="Arial"/>
          <w:b/>
          <w:lang w:eastAsia="es-ES"/>
        </w:rPr>
        <w:t xml:space="preserve">*Para más información </w:t>
      </w:r>
    </w:p>
    <w:p w14:paraId="2819F2F0" w14:textId="77777777" w:rsidR="00396093" w:rsidRPr="00396093" w:rsidRDefault="00396093" w:rsidP="00396093">
      <w:pPr>
        <w:spacing w:after="0" w:line="276" w:lineRule="auto"/>
        <w:jc w:val="both"/>
        <w:rPr>
          <w:rFonts w:ascii="Arial" w:eastAsia="Times New Roman" w:hAnsi="Arial" w:cs="Arial"/>
          <w:b/>
          <w:lang w:eastAsia="es-ES"/>
        </w:rPr>
      </w:pPr>
      <w:r w:rsidRPr="00396093">
        <w:rPr>
          <w:rFonts w:ascii="Arial" w:eastAsia="Times New Roman" w:hAnsi="Arial" w:cs="Arial"/>
          <w:b/>
          <w:lang w:eastAsia="es-ES"/>
        </w:rPr>
        <w:t>ALABRA / 91 789 14 59</w:t>
      </w:r>
    </w:p>
    <w:p w14:paraId="06899E7C" w14:textId="77777777" w:rsidR="00396093" w:rsidRPr="00396093" w:rsidRDefault="00396093" w:rsidP="00396093">
      <w:pPr>
        <w:spacing w:after="0" w:line="276" w:lineRule="auto"/>
        <w:jc w:val="both"/>
        <w:rPr>
          <w:rFonts w:ascii="Arial" w:eastAsia="Times New Roman" w:hAnsi="Arial" w:cs="Arial"/>
          <w:b/>
          <w:color w:val="0000FF"/>
          <w:u w:val="single"/>
          <w:lang w:eastAsia="es-ES"/>
        </w:rPr>
      </w:pPr>
      <w:r w:rsidRPr="00396093">
        <w:rPr>
          <w:rFonts w:ascii="Arial" w:eastAsia="Times New Roman" w:hAnsi="Arial" w:cs="Arial"/>
          <w:b/>
          <w:lang w:eastAsia="es-ES"/>
        </w:rPr>
        <w:t xml:space="preserve">Helena Pastor </w:t>
      </w:r>
      <w:hyperlink r:id="rId8">
        <w:r w:rsidRPr="00396093">
          <w:rPr>
            <w:rFonts w:ascii="Arial" w:eastAsia="Times New Roman" w:hAnsi="Arial" w:cs="Arial"/>
            <w:b/>
            <w:color w:val="0000FF"/>
            <w:u w:val="single"/>
            <w:lang w:eastAsia="es-ES"/>
          </w:rPr>
          <w:t>helena.pastor@alabra.es</w:t>
        </w:r>
      </w:hyperlink>
      <w:r w:rsidRPr="00396093">
        <w:rPr>
          <w:rFonts w:ascii="Arial" w:eastAsia="Times New Roman" w:hAnsi="Arial" w:cs="Arial"/>
          <w:b/>
          <w:color w:val="0000FF"/>
          <w:u w:val="single"/>
          <w:lang w:eastAsia="es-ES"/>
        </w:rPr>
        <w:t xml:space="preserve"> </w:t>
      </w:r>
    </w:p>
    <w:p w14:paraId="50261DF1" w14:textId="77777777" w:rsidR="009B7D7D" w:rsidRDefault="009B7D7D" w:rsidP="00486492">
      <w:pPr>
        <w:jc w:val="both"/>
      </w:pPr>
    </w:p>
    <w:sectPr w:rsidR="009B7D7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9C70" w14:textId="77777777" w:rsidR="0026552F" w:rsidRDefault="0026552F" w:rsidP="00945F55">
      <w:pPr>
        <w:spacing w:after="0" w:line="240" w:lineRule="auto"/>
      </w:pPr>
      <w:r>
        <w:separator/>
      </w:r>
    </w:p>
  </w:endnote>
  <w:endnote w:type="continuationSeparator" w:id="0">
    <w:p w14:paraId="5284F3C9" w14:textId="77777777" w:rsidR="0026552F" w:rsidRDefault="0026552F" w:rsidP="0094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8615" w14:textId="77777777" w:rsidR="0026552F" w:rsidRDefault="0026552F" w:rsidP="00945F55">
      <w:pPr>
        <w:spacing w:after="0" w:line="240" w:lineRule="auto"/>
      </w:pPr>
      <w:r>
        <w:separator/>
      </w:r>
    </w:p>
  </w:footnote>
  <w:footnote w:type="continuationSeparator" w:id="0">
    <w:p w14:paraId="60D6D0AF" w14:textId="77777777" w:rsidR="0026552F" w:rsidRDefault="0026552F" w:rsidP="00945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B725" w14:textId="0F242533" w:rsidR="00945F55" w:rsidRDefault="00945F55">
    <w:pPr>
      <w:pStyle w:val="Encabezado"/>
    </w:pPr>
    <w:r>
      <w:rPr>
        <w:noProof/>
        <w:lang w:val="ca-ES" w:eastAsia="ca-ES"/>
      </w:rPr>
      <w:drawing>
        <wp:anchor distT="0" distB="0" distL="114300" distR="114300" simplePos="0" relativeHeight="251658240" behindDoc="1" locked="0" layoutInCell="1" allowOverlap="1" wp14:anchorId="78B3D703" wp14:editId="525AFE9B">
          <wp:simplePos x="0" y="0"/>
          <wp:positionH relativeFrom="column">
            <wp:posOffset>-324485</wp:posOffset>
          </wp:positionH>
          <wp:positionV relativeFrom="paragraph">
            <wp:posOffset>-259080</wp:posOffset>
          </wp:positionV>
          <wp:extent cx="1295400" cy="785495"/>
          <wp:effectExtent l="0" t="0" r="0" b="0"/>
          <wp:wrapTight wrapText="bothSides">
            <wp:wrapPolygon edited="0">
              <wp:start x="0" y="0"/>
              <wp:lineTo x="0" y="20954"/>
              <wp:lineTo x="21282" y="20954"/>
              <wp:lineTo x="21282" y="0"/>
              <wp:lineTo x="0" y="0"/>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95400" cy="785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D1148"/>
    <w:multiLevelType w:val="hybridMultilevel"/>
    <w:tmpl w:val="77A69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043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13F"/>
    <w:rsid w:val="000314D2"/>
    <w:rsid w:val="000532E7"/>
    <w:rsid w:val="00080B56"/>
    <w:rsid w:val="000B6D21"/>
    <w:rsid w:val="000D748C"/>
    <w:rsid w:val="00137564"/>
    <w:rsid w:val="00157772"/>
    <w:rsid w:val="00206A06"/>
    <w:rsid w:val="00234B9C"/>
    <w:rsid w:val="002504E4"/>
    <w:rsid w:val="0026552F"/>
    <w:rsid w:val="002805FF"/>
    <w:rsid w:val="002E6489"/>
    <w:rsid w:val="002E6A05"/>
    <w:rsid w:val="00336A05"/>
    <w:rsid w:val="00396093"/>
    <w:rsid w:val="003A52F0"/>
    <w:rsid w:val="003E3FD9"/>
    <w:rsid w:val="003E506A"/>
    <w:rsid w:val="003E5EA4"/>
    <w:rsid w:val="004075A0"/>
    <w:rsid w:val="00417341"/>
    <w:rsid w:val="00486492"/>
    <w:rsid w:val="004D5B26"/>
    <w:rsid w:val="00523507"/>
    <w:rsid w:val="005308A2"/>
    <w:rsid w:val="00602B83"/>
    <w:rsid w:val="00680CA2"/>
    <w:rsid w:val="00694DA1"/>
    <w:rsid w:val="006D17A8"/>
    <w:rsid w:val="006F7CD6"/>
    <w:rsid w:val="00715788"/>
    <w:rsid w:val="00724DF6"/>
    <w:rsid w:val="00725306"/>
    <w:rsid w:val="00753B9F"/>
    <w:rsid w:val="007C1467"/>
    <w:rsid w:val="007C3F0F"/>
    <w:rsid w:val="00801FF3"/>
    <w:rsid w:val="008054C1"/>
    <w:rsid w:val="008803B7"/>
    <w:rsid w:val="008A04FA"/>
    <w:rsid w:val="008A6C24"/>
    <w:rsid w:val="008F5451"/>
    <w:rsid w:val="0090075F"/>
    <w:rsid w:val="00927681"/>
    <w:rsid w:val="00945F55"/>
    <w:rsid w:val="009B7D7D"/>
    <w:rsid w:val="009C1501"/>
    <w:rsid w:val="009C44DD"/>
    <w:rsid w:val="009D7B2F"/>
    <w:rsid w:val="009F311F"/>
    <w:rsid w:val="00A915E6"/>
    <w:rsid w:val="00B36FDD"/>
    <w:rsid w:val="00B472AE"/>
    <w:rsid w:val="00B90688"/>
    <w:rsid w:val="00BB3710"/>
    <w:rsid w:val="00BF0539"/>
    <w:rsid w:val="00C47CE0"/>
    <w:rsid w:val="00C81CE7"/>
    <w:rsid w:val="00C868A5"/>
    <w:rsid w:val="00CA7204"/>
    <w:rsid w:val="00D749D1"/>
    <w:rsid w:val="00D97034"/>
    <w:rsid w:val="00DF213F"/>
    <w:rsid w:val="00E2379A"/>
    <w:rsid w:val="00E32011"/>
    <w:rsid w:val="00E332E5"/>
    <w:rsid w:val="00E57D83"/>
    <w:rsid w:val="00EA0AA2"/>
    <w:rsid w:val="00ED6E98"/>
    <w:rsid w:val="00F32F4E"/>
    <w:rsid w:val="00F60DA8"/>
    <w:rsid w:val="00F91B9D"/>
    <w:rsid w:val="00F949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E984F"/>
  <w15:docId w15:val="{A948C9AC-AE35-456F-ACF3-1661105E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489"/>
    <w:pPr>
      <w:ind w:left="720"/>
      <w:contextualSpacing/>
    </w:pPr>
  </w:style>
  <w:style w:type="paragraph" w:styleId="Revisin">
    <w:name w:val="Revision"/>
    <w:hidden/>
    <w:uiPriority w:val="99"/>
    <w:semiHidden/>
    <w:rsid w:val="00753B9F"/>
    <w:pPr>
      <w:spacing w:after="0" w:line="240" w:lineRule="auto"/>
    </w:pPr>
  </w:style>
  <w:style w:type="character" w:styleId="Hipervnculo">
    <w:name w:val="Hyperlink"/>
    <w:basedOn w:val="Fuentedeprrafopredeter"/>
    <w:uiPriority w:val="99"/>
    <w:unhideWhenUsed/>
    <w:rsid w:val="008F5451"/>
    <w:rPr>
      <w:color w:val="0563C1" w:themeColor="hyperlink"/>
      <w:u w:val="single"/>
    </w:rPr>
  </w:style>
  <w:style w:type="character" w:customStyle="1" w:styleId="Mencinsinresolver1">
    <w:name w:val="Mención sin resolver1"/>
    <w:basedOn w:val="Fuentedeprrafopredeter"/>
    <w:uiPriority w:val="99"/>
    <w:semiHidden/>
    <w:unhideWhenUsed/>
    <w:rsid w:val="008F5451"/>
    <w:rPr>
      <w:color w:val="605E5C"/>
      <w:shd w:val="clear" w:color="auto" w:fill="E1DFDD"/>
    </w:rPr>
  </w:style>
  <w:style w:type="paragraph" w:styleId="Encabezado">
    <w:name w:val="header"/>
    <w:basedOn w:val="Normal"/>
    <w:link w:val="EncabezadoCar"/>
    <w:uiPriority w:val="99"/>
    <w:unhideWhenUsed/>
    <w:rsid w:val="00945F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F55"/>
  </w:style>
  <w:style w:type="paragraph" w:styleId="Piedepgina">
    <w:name w:val="footer"/>
    <w:basedOn w:val="Normal"/>
    <w:link w:val="PiedepginaCar"/>
    <w:uiPriority w:val="99"/>
    <w:unhideWhenUsed/>
    <w:rsid w:val="00945F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F55"/>
  </w:style>
  <w:style w:type="paragraph" w:styleId="Textodeglobo">
    <w:name w:val="Balloon Text"/>
    <w:basedOn w:val="Normal"/>
    <w:link w:val="TextodegloboCar"/>
    <w:uiPriority w:val="99"/>
    <w:semiHidden/>
    <w:unhideWhenUsed/>
    <w:rsid w:val="000B6D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pastor@plannermedia.com" TargetMode="External"/><Relationship Id="rId3" Type="http://schemas.openxmlformats.org/officeDocument/2006/relationships/settings" Target="settings.xml"/><Relationship Id="rId7" Type="http://schemas.openxmlformats.org/officeDocument/2006/relationships/hyperlink" Target="https://www.guiagalax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4661</TotalTime>
  <Pages>2</Pages>
  <Words>835</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Prácticas</dc:creator>
  <cp:lastModifiedBy>HelenaPastor</cp:lastModifiedBy>
  <cp:revision>3</cp:revision>
  <dcterms:created xsi:type="dcterms:W3CDTF">2023-02-13T15:31:00Z</dcterms:created>
  <dcterms:modified xsi:type="dcterms:W3CDTF">2023-02-22T12:45:00Z</dcterms:modified>
</cp:coreProperties>
</file>