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after="160" w:line="259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Con motivo de la celebración de Halloween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</w:tabs>
        <w:spacing w:after="160" w:line="259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spacing w:after="160" w:line="259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SEAIC OFRECE CUATRO SENCILLOS PASOS PARA EVITAR REACCIONES ALÉRGICAS</w:t>
      </w:r>
    </w:p>
    <w:p w:rsidR="00000000" w:rsidDel="00000000" w:rsidP="00000000" w:rsidRDefault="00000000" w:rsidRPr="00000000" w14:paraId="00000004">
      <w:pPr>
        <w:spacing w:line="259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Madrid, 30 de octubre de 2023. 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Muchos de los pasteles, chocolates y gominolas, además de otros alimentos protagonistas en la festividad de Halloween, pueden contener alérgenos frecuentes, como son la leche, el huevo, las frutas y los frutos secos, entre otros.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Cada vez es más frecuente la participación de niños y adultos en esta fiesta. Algunos van disfrazados de casa en casa para recoger dulces o bien simplemente se reúnen para celebrarlo. Es un hecho que cada vez son más los niños que tienen alergia a ciertos alimentos, incluso en ocasiones a más de un grupo de alimentos. Por ello, la prevención es de suma importancia para evitar sufrir un episodio anafiláctico.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Con el objetivo de que ningún menor alérgico sufra incidentes mientras se divierte celebrando esta festividad, desde la Sociedad Española de Alergología e Inmunología Clínica (SEAIC) se han elaborado cuatro sencillos pasos para evitar que cualquier niño pueda sufrir una reacción alérgica en la noche de Halloween y disfruten de un entorno seguro.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Primer consejo: notificar la alergia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line="259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Hacer consciente al niño o niña de su alergia, así como las personas que le van a acompañar durante ese día. Hay que remarcar al menor que no debe compartir o coger ningún alimento sin ser revisado previamente por un adulto.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Llevar gominolas propias. En caso de ir recogiendo dulces de otras casas, en el que no haya seguridad de que el alimento esté libre del alérgeno, es mejor evitarlo y darle al niño unas propias.  </w:t>
      </w:r>
    </w:p>
    <w:p w:rsidR="00000000" w:rsidDel="00000000" w:rsidP="00000000" w:rsidRDefault="00000000" w:rsidRPr="00000000" w14:paraId="0000000C">
      <w:pPr>
        <w:spacing w:after="160"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Segundo consejo: preparar un ambiente adecuado para alérgicos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59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 hacer una fiesta en casa, debes preguntar si entre los invitados hay algún alérgico a los alimentos. Consúltale qué alimentos y bebidas son seguros para él.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59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 tirar los envoltorios o bolsas de los alimentos, así podrás consultarlos rápidamente en caso de duda.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59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Utilizar recipientes separados y bien identificados para cada alimento y una adecuada higiene de manos tras su manipulación para evitar contaminación cruzada.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Evitar el látex a la hora de preparar alimentos, así como en el maquillaje y en los regalos. El látex también puede provocar alergia.</w:t>
      </w:r>
    </w:p>
    <w:p w:rsidR="00000000" w:rsidDel="00000000" w:rsidP="00000000" w:rsidRDefault="00000000" w:rsidRPr="00000000" w14:paraId="00000012">
      <w:pPr>
        <w:spacing w:after="160"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Tercer consejo: no olvidar el tratamiento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line="259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Repasar con el niño o niña los síntomas en caso de una reacción alérgica para que sea capaz de identificarlos e insistir en su notificación a un adulto. Recordar los días antes el plan a seguir y medicación a usar en caso de reacción alérgica.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line="259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Llevar siempre la medicación de rescate a emplear en caso de reacción alérgica, especialmente el autoinyector de adrenalina. En caso de reacción grave llamar al 112 y/o acudir al servicio de Urgencias más cercano.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160" w:line="259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 olvidar la medicación habitual del paciente sobre todo en pacientes asmáticos ya que podría intensificar una eventual reacción alérgica.</w:t>
      </w:r>
    </w:p>
    <w:p w:rsidR="00000000" w:rsidDel="00000000" w:rsidP="00000000" w:rsidRDefault="00000000" w:rsidRPr="00000000" w14:paraId="00000019">
      <w:pPr>
        <w:spacing w:after="160"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Cuarto consejo: recetas libres de alérgenos</w:t>
      </w:r>
    </w:p>
    <w:p w:rsidR="00000000" w:rsidDel="00000000" w:rsidP="00000000" w:rsidRDefault="00000000" w:rsidRPr="00000000" w14:paraId="0000001B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Puedes preparar tú mismo recetas libres de alérgenos con la ayuda de los más pequeños como, por ejemplo, las ¡Galletas terroríficas! Para hacer estas galletas vas a necesitar: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line="259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80 gr de harina de avena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line="259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30 gr de copos de avena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line="259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25 gr de cacao en polvo puro o 70% (sin leche)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160" w:line="259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2 plátanos maduros</w:t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Con un tenedor aplasta los plátanos, añade todos los ingredientes progresivamente y mézclalos bien con el tenedor. Coloca la pasta moldeando según desees sobre papel vegetal en la bandeja del horno. Hornea a 180° C durante 15 min, con el horno previamente calentado y ¡listo! ¡A disfrutar!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111338" cy="2213539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338" cy="2213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Desde la SEAIC animamos a que toda la población contribuya a proteger el bienestar de la población alérgica, y concretamente, de los pequeños con alergia. ¡Que ser alérgico no impida disfrutar de Halloween!</w:t>
      </w:r>
    </w:p>
    <w:p w:rsidR="00000000" w:rsidDel="00000000" w:rsidP="00000000" w:rsidRDefault="00000000" w:rsidRPr="00000000" w14:paraId="00000024">
      <w:pPr>
        <w:shd w:fill="ffffff" w:val="clear"/>
        <w:spacing w:after="15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*Para más información </w:t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ALABRA / 91 789 14 59</w:t>
      </w:r>
    </w:p>
    <w:p w:rsidR="00000000" w:rsidDel="00000000" w:rsidP="00000000" w:rsidRDefault="00000000" w:rsidRPr="00000000" w14:paraId="00000027">
      <w:pPr>
        <w:jc w:val="both"/>
        <w:rPr>
          <w:b w:val="1"/>
          <w:color w:val="0000ff"/>
          <w:u w:val="single"/>
        </w:rPr>
      </w:pPr>
      <w:r w:rsidDel="00000000" w:rsidR="00000000" w:rsidRPr="00000000">
        <w:rPr>
          <w:b w:val="1"/>
          <w:rtl w:val="0"/>
        </w:rPr>
        <w:t xml:space="preserve">Helena Pastor </w:t>
      </w:r>
      <w:hyperlink r:id="rId8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helena.pastor@alabra.es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  <w:color w:val="0000ff"/>
          <w:u w:val="single"/>
        </w:rPr>
      </w:pPr>
      <w:r w:rsidDel="00000000" w:rsidR="00000000" w:rsidRPr="00000000">
        <w:rPr>
          <w:b w:val="1"/>
          <w:rtl w:val="0"/>
        </w:rPr>
        <w:t xml:space="preserve">Carolina López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9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carolina.lopez@alabra.es</w:t>
        </w:r>
      </w:hyperlink>
      <w:r w:rsidDel="00000000" w:rsidR="00000000" w:rsidRPr="00000000">
        <w:rPr>
          <w:b w:val="1"/>
          <w:color w:val="0000ff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720" w:hanging="720"/>
        <w:jc w:val="both"/>
        <w:rPr>
          <w:b w:val="1"/>
          <w:color w:val="0000ff"/>
          <w:u w:val="singl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center" w:leader="none" w:pos="4252"/>
        <w:tab w:val="right" w:leader="none" w:pos="8504"/>
      </w:tabs>
      <w:spacing w:after="160" w:line="259" w:lineRule="auto"/>
      <w:jc w:val="center"/>
      <w:rPr>
        <w:b w:val="1"/>
        <w:sz w:val="20"/>
        <w:szCs w:val="20"/>
        <w:u w:val="singl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-324481</wp:posOffset>
          </wp:positionH>
          <wp:positionV relativeFrom="paragraph">
            <wp:posOffset>-259075</wp:posOffset>
          </wp:positionV>
          <wp:extent cx="1295400" cy="785495"/>
          <wp:effectExtent b="0" l="0" r="0" t="0"/>
          <wp:wrapSquare wrapText="bothSides" distB="0" distT="0" distL="114300" distR="114300"/>
          <wp:docPr descr="Logotipo&#10;&#10;Descripción generada automáticamente" id="4" name="image2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5400" cy="7854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tabs>
        <w:tab w:val="center" w:leader="none" w:pos="4252"/>
        <w:tab w:val="right" w:leader="none" w:pos="8504"/>
      </w:tabs>
      <w:spacing w:line="259" w:lineRule="auto"/>
      <w:jc w:val="both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 w:val="1"/>
    <w:rsid w:val="005C7E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C7EB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carolina.lopez@alabra.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helena.pastor@plannermedia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05V3y7LV1CMhXDc9QPd9gRZktg==">CgMxLjA4AHIhMUxOVHZiV0RvTkZsUnQ5NlRSdXdTSHJhWHBtcERPSGVI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2023-10-11T15:12:00Z</dcterms:created>
  <dc:creator>juan carlos miralles lopez</dc:creator>
</cp:coreProperties>
</file>