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722" w14:textId="77777777" w:rsidR="000C70E5" w:rsidRDefault="004E4986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1D6423A7" wp14:editId="25B87C16">
            <wp:simplePos x="0" y="0"/>
            <wp:positionH relativeFrom="margin">
              <wp:posOffset>4989463</wp:posOffset>
            </wp:positionH>
            <wp:positionV relativeFrom="margin">
              <wp:posOffset>-680567</wp:posOffset>
            </wp:positionV>
            <wp:extent cx="1196340" cy="132080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671C19" w14:textId="77777777" w:rsidR="000C70E5" w:rsidRDefault="000C70E5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03ADE8E4" w14:textId="77777777" w:rsidR="000C70E5" w:rsidRDefault="004E498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La Sociedad Española de Alergología e Inmunología Clínica señala que</w:t>
      </w:r>
    </w:p>
    <w:p w14:paraId="41CC2568" w14:textId="77777777" w:rsidR="000C70E5" w:rsidRDefault="000C70E5">
      <w:pPr>
        <w:spacing w:after="0"/>
        <w:jc w:val="both"/>
        <w:rPr>
          <w:rFonts w:ascii="Arial" w:eastAsia="Arial" w:hAnsi="Arial" w:cs="Arial"/>
          <w:b/>
        </w:rPr>
      </w:pPr>
    </w:p>
    <w:p w14:paraId="4FC3D18F" w14:textId="77777777" w:rsidR="000C70E5" w:rsidRDefault="009E1E85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LOS NUEVOS FÁRMACOS HACEN POSIBLE EL </w:t>
      </w:r>
      <w:r w:rsidR="00C54743">
        <w:rPr>
          <w:rFonts w:ascii="Arial" w:eastAsia="Arial" w:hAnsi="Arial" w:cs="Arial"/>
          <w:b/>
          <w:sz w:val="28"/>
          <w:szCs w:val="28"/>
        </w:rPr>
        <w:t>OBJETIVO “</w:t>
      </w:r>
      <w:r>
        <w:rPr>
          <w:rFonts w:ascii="Arial" w:eastAsia="Arial" w:hAnsi="Arial" w:cs="Arial"/>
          <w:b/>
          <w:sz w:val="28"/>
          <w:szCs w:val="28"/>
        </w:rPr>
        <w:t>CERO ATAQUES” Y NORMALIZAR LA VIDA DE LOS</w:t>
      </w:r>
      <w:r w:rsidR="004E4986">
        <w:rPr>
          <w:rFonts w:ascii="Arial" w:eastAsia="Arial" w:hAnsi="Arial" w:cs="Arial"/>
          <w:b/>
          <w:sz w:val="28"/>
          <w:szCs w:val="28"/>
        </w:rPr>
        <w:t xml:space="preserve"> PACIENTES CON ANGIOEDEMA HEREDITARIO</w:t>
      </w:r>
    </w:p>
    <w:p w14:paraId="264B3F6E" w14:textId="77777777" w:rsidR="00C54743" w:rsidRDefault="00061EDF" w:rsidP="00061ED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Los nuevos tratamientos </w:t>
      </w:r>
      <w:r w:rsidRPr="00061EDF">
        <w:rPr>
          <w:rFonts w:ascii="Arial" w:eastAsia="Arial" w:hAnsi="Arial" w:cs="Arial"/>
          <w:b/>
          <w:sz w:val="24"/>
          <w:szCs w:val="24"/>
        </w:rPr>
        <w:t xml:space="preserve">han desplazado 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 w:rsidRPr="00061EDF">
        <w:rPr>
          <w:rFonts w:ascii="Arial" w:eastAsia="Arial" w:hAnsi="Arial" w:cs="Arial"/>
          <w:b/>
          <w:sz w:val="24"/>
          <w:szCs w:val="24"/>
        </w:rPr>
        <w:t>los andrógenos a una segunda línea, debido a sus frecuentes efectos adversos</w:t>
      </w:r>
    </w:p>
    <w:p w14:paraId="2FCD28B1" w14:textId="77777777" w:rsidR="000C70E5" w:rsidRDefault="00C5474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autoadministración de los tratamientos mejora la independencia y la calidad de vida de los pacientes</w:t>
      </w:r>
      <w:r w:rsidR="004E4986"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6C9EDDF2" w14:textId="77777777" w:rsidR="00C54743" w:rsidRDefault="00C54743" w:rsidP="00C5474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Pr="00C54743">
        <w:rPr>
          <w:rFonts w:ascii="Arial" w:eastAsia="Arial" w:hAnsi="Arial" w:cs="Arial"/>
          <w:b/>
          <w:sz w:val="24"/>
          <w:szCs w:val="24"/>
        </w:rPr>
        <w:t xml:space="preserve">l alto impacto económico de </w:t>
      </w:r>
      <w:r>
        <w:rPr>
          <w:rFonts w:ascii="Arial" w:eastAsia="Arial" w:hAnsi="Arial" w:cs="Arial"/>
          <w:b/>
          <w:sz w:val="24"/>
          <w:szCs w:val="24"/>
        </w:rPr>
        <w:t xml:space="preserve">los </w:t>
      </w:r>
      <w:r w:rsidRPr="00C54743">
        <w:rPr>
          <w:rFonts w:ascii="Arial" w:eastAsia="Arial" w:hAnsi="Arial" w:cs="Arial"/>
          <w:b/>
          <w:sz w:val="24"/>
          <w:szCs w:val="24"/>
        </w:rPr>
        <w:t>nuevos tratamientos limita el acceso a los mismos</w:t>
      </w:r>
    </w:p>
    <w:p w14:paraId="25B59057" w14:textId="5A65CD1F" w:rsidR="00B422B4" w:rsidRDefault="004E4986" w:rsidP="00B422B4">
      <w:pPr>
        <w:shd w:val="clear" w:color="auto" w:fill="FFFFFF"/>
        <w:spacing w:before="240"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Madrid, </w:t>
      </w:r>
      <w:r w:rsidR="00220C85">
        <w:rPr>
          <w:rFonts w:ascii="Arial" w:eastAsia="Arial" w:hAnsi="Arial" w:cs="Arial"/>
          <w:b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220C85">
        <w:rPr>
          <w:rFonts w:ascii="Arial" w:eastAsia="Arial" w:hAnsi="Arial" w:cs="Arial"/>
          <w:b/>
          <w:sz w:val="24"/>
          <w:szCs w:val="24"/>
        </w:rPr>
        <w:t>abril</w:t>
      </w:r>
      <w:r>
        <w:rPr>
          <w:rFonts w:ascii="Arial" w:eastAsia="Arial" w:hAnsi="Arial" w:cs="Arial"/>
          <w:b/>
          <w:sz w:val="24"/>
          <w:szCs w:val="24"/>
        </w:rPr>
        <w:t xml:space="preserve"> de 2024.- </w:t>
      </w:r>
      <w:r>
        <w:rPr>
          <w:rFonts w:ascii="Arial" w:eastAsia="Arial" w:hAnsi="Arial" w:cs="Arial"/>
          <w:sz w:val="24"/>
          <w:szCs w:val="24"/>
        </w:rPr>
        <w:t>El angioedema hereditario (AEH) es una enfermedad</w:t>
      </w:r>
      <w:r w:rsidR="00B422B4">
        <w:rPr>
          <w:rFonts w:ascii="Arial" w:eastAsia="Arial" w:hAnsi="Arial" w:cs="Arial"/>
          <w:sz w:val="24"/>
          <w:szCs w:val="24"/>
        </w:rPr>
        <w:t xml:space="preserve"> rara. 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La forma más frecuente es el </w:t>
      </w:r>
      <w:r w:rsidR="00B422B4">
        <w:rPr>
          <w:rFonts w:ascii="Arial" w:eastAsia="Arial" w:hAnsi="Arial" w:cs="Arial"/>
          <w:sz w:val="24"/>
          <w:szCs w:val="24"/>
        </w:rPr>
        <w:t>AEH por déficit de C1 inhibidor, cuya prevalencia se estima en 1,1-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1,6 </w:t>
      </w:r>
      <w:r w:rsidR="00B422B4">
        <w:rPr>
          <w:rFonts w:ascii="Arial" w:eastAsia="Arial" w:hAnsi="Arial" w:cs="Arial"/>
          <w:sz w:val="24"/>
          <w:szCs w:val="24"/>
        </w:rPr>
        <w:t xml:space="preserve">casos </w:t>
      </w:r>
      <w:r w:rsidR="00B422B4" w:rsidRPr="00B422B4">
        <w:rPr>
          <w:rFonts w:ascii="Arial" w:eastAsia="Arial" w:hAnsi="Arial" w:cs="Arial"/>
          <w:sz w:val="24"/>
          <w:szCs w:val="24"/>
        </w:rPr>
        <w:t>por 100.000 habitantes.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422B4">
        <w:rPr>
          <w:rFonts w:ascii="Arial" w:eastAsia="Arial" w:hAnsi="Arial" w:cs="Arial"/>
          <w:sz w:val="24"/>
          <w:szCs w:val="24"/>
        </w:rPr>
        <w:t>Los pacientes tiene</w:t>
      </w:r>
      <w:r w:rsidR="003F4F4D">
        <w:rPr>
          <w:rFonts w:ascii="Arial" w:eastAsia="Arial" w:hAnsi="Arial" w:cs="Arial"/>
          <w:sz w:val="24"/>
          <w:szCs w:val="24"/>
        </w:rPr>
        <w:t>n</w:t>
      </w:r>
      <w:r w:rsidR="00B422B4">
        <w:rPr>
          <w:rFonts w:ascii="Arial" w:eastAsia="Arial" w:hAnsi="Arial" w:cs="Arial"/>
          <w:sz w:val="24"/>
          <w:szCs w:val="24"/>
        </w:rPr>
        <w:t xml:space="preserve"> antecedentes familiares de la enfermedad y suelen iniciar 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los síntomas </w:t>
      </w:r>
      <w:r w:rsidR="00DD50D4">
        <w:rPr>
          <w:rFonts w:ascii="Arial" w:eastAsia="Arial" w:hAnsi="Arial" w:cs="Arial"/>
          <w:sz w:val="24"/>
          <w:szCs w:val="24"/>
        </w:rPr>
        <w:t>en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 la edad escolar o adolescencia</w:t>
      </w:r>
      <w:r w:rsidR="00B422B4">
        <w:rPr>
          <w:rFonts w:ascii="Arial" w:eastAsia="Arial" w:hAnsi="Arial" w:cs="Arial"/>
          <w:sz w:val="24"/>
          <w:szCs w:val="24"/>
        </w:rPr>
        <w:t>.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 </w:t>
      </w:r>
      <w:r w:rsidR="00C54743">
        <w:rPr>
          <w:rFonts w:ascii="Arial" w:eastAsia="Arial" w:hAnsi="Arial" w:cs="Arial"/>
          <w:sz w:val="24"/>
          <w:szCs w:val="24"/>
        </w:rPr>
        <w:t xml:space="preserve">La </w:t>
      </w:r>
      <w:r w:rsidR="00BC5E5D">
        <w:rPr>
          <w:rFonts w:ascii="Arial" w:eastAsia="Arial" w:hAnsi="Arial" w:cs="Arial"/>
          <w:sz w:val="24"/>
          <w:szCs w:val="24"/>
        </w:rPr>
        <w:t>actividad de la enfermedad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 </w:t>
      </w:r>
      <w:r w:rsidR="00C54743">
        <w:rPr>
          <w:rFonts w:ascii="Arial" w:eastAsia="Arial" w:hAnsi="Arial" w:cs="Arial"/>
          <w:sz w:val="24"/>
          <w:szCs w:val="24"/>
        </w:rPr>
        <w:t>varía,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 incluso entre miembros de una familia y en un mismo paciente a lo largo de su vida. A menudo los pacientes han sufrido </w:t>
      </w:r>
      <w:r w:rsidR="00DD50D4">
        <w:rPr>
          <w:rFonts w:ascii="Arial" w:eastAsia="Arial" w:hAnsi="Arial" w:cs="Arial"/>
          <w:sz w:val="24"/>
          <w:szCs w:val="24"/>
        </w:rPr>
        <w:t xml:space="preserve">retraso en el diagnóstico, con una media de </w:t>
      </w:r>
      <w:r w:rsidR="00B422B4" w:rsidRPr="00B422B4">
        <w:rPr>
          <w:rFonts w:ascii="Arial" w:eastAsia="Arial" w:hAnsi="Arial" w:cs="Arial"/>
          <w:sz w:val="24"/>
          <w:szCs w:val="24"/>
        </w:rPr>
        <w:t>10 años.</w:t>
      </w:r>
    </w:p>
    <w:p w14:paraId="416F2429" w14:textId="14FAAD70" w:rsidR="00B422B4" w:rsidRDefault="00B422B4">
      <w:pPr>
        <w:shd w:val="clear" w:color="auto" w:fill="FFFFFF"/>
        <w:spacing w:before="240"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4E4986">
        <w:rPr>
          <w:rFonts w:ascii="Arial" w:eastAsia="Arial" w:hAnsi="Arial" w:cs="Arial"/>
          <w:sz w:val="24"/>
          <w:szCs w:val="24"/>
        </w:rPr>
        <w:t>n los últimos años</w:t>
      </w:r>
      <w:r w:rsidR="00A607EA">
        <w:rPr>
          <w:rFonts w:ascii="Arial" w:eastAsia="Arial" w:hAnsi="Arial" w:cs="Arial"/>
          <w:sz w:val="24"/>
          <w:szCs w:val="24"/>
        </w:rPr>
        <w:t>,</w:t>
      </w:r>
      <w:r w:rsidR="004E4986">
        <w:rPr>
          <w:rFonts w:ascii="Arial" w:eastAsia="Arial" w:hAnsi="Arial" w:cs="Arial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 xml:space="preserve"> han producido cambios relevantes: por una parte, se han descubierto </w:t>
      </w:r>
      <w:r w:rsidR="004E4986">
        <w:rPr>
          <w:rFonts w:ascii="Arial" w:eastAsia="Arial" w:hAnsi="Arial" w:cs="Arial"/>
          <w:sz w:val="24"/>
          <w:szCs w:val="24"/>
        </w:rPr>
        <w:t xml:space="preserve">nuevas mutaciones genéticas </w:t>
      </w:r>
      <w:r>
        <w:rPr>
          <w:rFonts w:ascii="Arial" w:eastAsia="Arial" w:hAnsi="Arial" w:cs="Arial"/>
          <w:sz w:val="24"/>
          <w:szCs w:val="24"/>
        </w:rPr>
        <w:t xml:space="preserve">asociadas a la </w:t>
      </w:r>
      <w:r w:rsidR="003265AF">
        <w:rPr>
          <w:rFonts w:ascii="Arial" w:eastAsia="Arial" w:hAnsi="Arial" w:cs="Arial"/>
          <w:sz w:val="24"/>
          <w:szCs w:val="24"/>
        </w:rPr>
        <w:t>enfermedad</w:t>
      </w:r>
      <w:r>
        <w:rPr>
          <w:rFonts w:ascii="Arial" w:eastAsia="Arial" w:hAnsi="Arial" w:cs="Arial"/>
          <w:sz w:val="24"/>
          <w:szCs w:val="24"/>
        </w:rPr>
        <w:t xml:space="preserve">; por otra, la disponibilidad de </w:t>
      </w:r>
      <w:r w:rsidR="004E4986">
        <w:rPr>
          <w:rFonts w:ascii="Arial" w:eastAsia="Arial" w:hAnsi="Arial" w:cs="Arial"/>
          <w:sz w:val="24"/>
          <w:szCs w:val="24"/>
        </w:rPr>
        <w:t xml:space="preserve">nuevos fármacos para </w:t>
      </w:r>
      <w:r>
        <w:rPr>
          <w:rFonts w:ascii="Arial" w:eastAsia="Arial" w:hAnsi="Arial" w:cs="Arial"/>
          <w:sz w:val="24"/>
          <w:szCs w:val="24"/>
        </w:rPr>
        <w:t>profilaxis a</w:t>
      </w:r>
      <w:r w:rsidR="004E4986">
        <w:rPr>
          <w:rFonts w:ascii="Arial" w:eastAsia="Arial" w:hAnsi="Arial" w:cs="Arial"/>
          <w:sz w:val="24"/>
          <w:szCs w:val="24"/>
        </w:rPr>
        <w:t xml:space="preserve"> largo plazo</w:t>
      </w:r>
      <w:r w:rsidR="00C54743">
        <w:rPr>
          <w:rFonts w:ascii="Arial" w:eastAsia="Arial" w:hAnsi="Arial" w:cs="Arial"/>
          <w:sz w:val="24"/>
          <w:szCs w:val="24"/>
        </w:rPr>
        <w:t xml:space="preserve"> (PLP)</w:t>
      </w:r>
      <w:r>
        <w:rPr>
          <w:rFonts w:ascii="Arial" w:eastAsia="Arial" w:hAnsi="Arial" w:cs="Arial"/>
          <w:sz w:val="24"/>
          <w:szCs w:val="24"/>
        </w:rPr>
        <w:t>, hace posible el ambicioso objetivo de “cero ataques”, normalizando la vida de los pacientes.</w:t>
      </w:r>
    </w:p>
    <w:p w14:paraId="0B10B9B1" w14:textId="4B92B2A4" w:rsidR="00DD50D4" w:rsidRPr="00CE3A41" w:rsidRDefault="004E4986">
      <w:pPr>
        <w:shd w:val="clear" w:color="auto" w:fill="FFFFFF"/>
        <w:spacing w:before="240"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diagnóstico del </w:t>
      </w:r>
      <w:r w:rsidR="00B422B4">
        <w:rPr>
          <w:rFonts w:ascii="Arial" w:eastAsia="Arial" w:hAnsi="Arial" w:cs="Arial"/>
          <w:sz w:val="24"/>
          <w:szCs w:val="24"/>
        </w:rPr>
        <w:t>AEH</w:t>
      </w:r>
      <w:r>
        <w:rPr>
          <w:rFonts w:ascii="Arial" w:eastAsia="Arial" w:hAnsi="Arial" w:cs="Arial"/>
          <w:sz w:val="24"/>
          <w:szCs w:val="24"/>
        </w:rPr>
        <w:t xml:space="preserve"> se realiza </w:t>
      </w:r>
      <w:r w:rsidR="00B422B4">
        <w:rPr>
          <w:rFonts w:ascii="Arial" w:eastAsia="Arial" w:hAnsi="Arial" w:cs="Arial"/>
          <w:sz w:val="24"/>
          <w:szCs w:val="24"/>
        </w:rPr>
        <w:t xml:space="preserve">en base a una </w:t>
      </w:r>
      <w:r>
        <w:rPr>
          <w:rFonts w:ascii="Arial" w:eastAsia="Arial" w:hAnsi="Arial" w:cs="Arial"/>
          <w:sz w:val="24"/>
          <w:szCs w:val="24"/>
        </w:rPr>
        <w:t xml:space="preserve">sospecha clínica ante un paciente </w:t>
      </w:r>
      <w:r w:rsidR="00B422B4"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 xml:space="preserve"> angioedema recurrente</w:t>
      </w:r>
      <w:r w:rsidR="00BC5E5D">
        <w:rPr>
          <w:rFonts w:ascii="Arial" w:eastAsia="Arial" w:hAnsi="Arial" w:cs="Arial"/>
          <w:sz w:val="24"/>
          <w:szCs w:val="24"/>
        </w:rPr>
        <w:t xml:space="preserve"> y antecedentes familiares</w:t>
      </w:r>
      <w:r w:rsidR="003265AF">
        <w:rPr>
          <w:rFonts w:ascii="Arial" w:eastAsia="Arial" w:hAnsi="Arial" w:cs="Arial"/>
          <w:sz w:val="24"/>
          <w:szCs w:val="24"/>
        </w:rPr>
        <w:t>.</w:t>
      </w:r>
      <w:r w:rsidR="00B422B4">
        <w:rPr>
          <w:rFonts w:ascii="Arial" w:eastAsia="Arial" w:hAnsi="Arial" w:cs="Arial"/>
          <w:sz w:val="24"/>
          <w:szCs w:val="24"/>
        </w:rPr>
        <w:t xml:space="preserve"> 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El edema puede afectar cualquier localización del tejido subcutáneo y también la vía respiratoria, con riesgo de muerte por asfixia, y el sistema digestivo, con ataques de dolor abdominal intenso. </w:t>
      </w:r>
      <w:r w:rsidR="0049696E">
        <w:rPr>
          <w:rFonts w:ascii="Arial" w:eastAsia="Arial" w:hAnsi="Arial" w:cs="Arial"/>
          <w:sz w:val="24"/>
          <w:szCs w:val="24"/>
        </w:rPr>
        <w:t xml:space="preserve">El diagnóstico se confirma por </w:t>
      </w:r>
      <w:r w:rsidR="0049696E" w:rsidRPr="0049696E">
        <w:rPr>
          <w:rFonts w:ascii="Arial" w:eastAsia="Arial" w:hAnsi="Arial" w:cs="Arial"/>
          <w:sz w:val="24"/>
          <w:szCs w:val="24"/>
        </w:rPr>
        <w:t>determinaciones analíticas de</w:t>
      </w:r>
      <w:r w:rsidR="003F4F4D">
        <w:rPr>
          <w:rFonts w:ascii="Arial" w:eastAsia="Arial" w:hAnsi="Arial" w:cs="Arial"/>
          <w:sz w:val="24"/>
          <w:szCs w:val="24"/>
        </w:rPr>
        <w:t>l</w:t>
      </w:r>
      <w:r w:rsidR="0049696E" w:rsidRPr="0049696E">
        <w:rPr>
          <w:rFonts w:ascii="Arial" w:eastAsia="Arial" w:hAnsi="Arial" w:cs="Arial"/>
          <w:sz w:val="24"/>
          <w:szCs w:val="24"/>
        </w:rPr>
        <w:t xml:space="preserve"> complemento </w:t>
      </w:r>
      <w:r w:rsidR="003F4F4D">
        <w:rPr>
          <w:rFonts w:ascii="Arial" w:eastAsia="Arial" w:hAnsi="Arial" w:cs="Arial"/>
          <w:sz w:val="24"/>
          <w:szCs w:val="24"/>
        </w:rPr>
        <w:t>(</w:t>
      </w:r>
      <w:r w:rsidR="0049696E" w:rsidRPr="0049696E">
        <w:rPr>
          <w:rFonts w:ascii="Arial" w:eastAsia="Arial" w:hAnsi="Arial" w:cs="Arial"/>
          <w:sz w:val="24"/>
          <w:szCs w:val="24"/>
        </w:rPr>
        <w:t>C1 inhibidor</w:t>
      </w:r>
      <w:r w:rsidR="003F4F4D">
        <w:rPr>
          <w:rFonts w:ascii="Arial" w:eastAsia="Arial" w:hAnsi="Arial" w:cs="Arial"/>
          <w:sz w:val="24"/>
          <w:szCs w:val="24"/>
        </w:rPr>
        <w:t xml:space="preserve"> antigénico y funcional)</w:t>
      </w:r>
      <w:r w:rsidR="0049696E" w:rsidRPr="0049696E">
        <w:rPr>
          <w:rFonts w:ascii="Arial" w:eastAsia="Arial" w:hAnsi="Arial" w:cs="Arial"/>
          <w:sz w:val="24"/>
          <w:szCs w:val="24"/>
        </w:rPr>
        <w:t xml:space="preserve"> </w:t>
      </w:r>
      <w:r w:rsidR="0049696E">
        <w:rPr>
          <w:rFonts w:ascii="Arial" w:eastAsia="Arial" w:hAnsi="Arial" w:cs="Arial"/>
          <w:sz w:val="24"/>
          <w:szCs w:val="24"/>
        </w:rPr>
        <w:t xml:space="preserve">y por estudios </w:t>
      </w:r>
      <w:r w:rsidR="0049696E" w:rsidRPr="0049696E">
        <w:rPr>
          <w:rFonts w:ascii="Arial" w:eastAsia="Arial" w:hAnsi="Arial" w:cs="Arial"/>
          <w:sz w:val="24"/>
          <w:szCs w:val="24"/>
        </w:rPr>
        <w:t>genético</w:t>
      </w:r>
      <w:r w:rsidR="0049696E">
        <w:rPr>
          <w:rFonts w:ascii="Arial" w:eastAsia="Arial" w:hAnsi="Arial" w:cs="Arial"/>
          <w:sz w:val="24"/>
          <w:szCs w:val="24"/>
        </w:rPr>
        <w:t>s</w:t>
      </w:r>
      <w:r w:rsidR="0049696E" w:rsidRPr="0049696E">
        <w:rPr>
          <w:rFonts w:ascii="Arial" w:eastAsia="Arial" w:hAnsi="Arial" w:cs="Arial"/>
          <w:sz w:val="24"/>
          <w:szCs w:val="24"/>
        </w:rPr>
        <w:t xml:space="preserve"> para detectar la mutación</w:t>
      </w:r>
      <w:r w:rsidR="0049696E">
        <w:rPr>
          <w:rFonts w:ascii="Arial" w:eastAsia="Arial" w:hAnsi="Arial" w:cs="Arial"/>
          <w:sz w:val="24"/>
          <w:szCs w:val="24"/>
        </w:rPr>
        <w:t>.</w:t>
      </w:r>
      <w:r w:rsidR="0049696E" w:rsidRPr="0049696E">
        <w:rPr>
          <w:rFonts w:ascii="Arial" w:eastAsia="Arial" w:hAnsi="Arial" w:cs="Arial"/>
          <w:sz w:val="24"/>
          <w:szCs w:val="24"/>
        </w:rPr>
        <w:t xml:space="preserve"> </w:t>
      </w:r>
      <w:r w:rsidR="0049696E">
        <w:rPr>
          <w:rFonts w:ascii="Arial" w:eastAsia="Arial" w:hAnsi="Arial" w:cs="Arial"/>
          <w:sz w:val="24"/>
          <w:szCs w:val="24"/>
        </w:rPr>
        <w:t>E</w:t>
      </w:r>
      <w:r w:rsidR="00B422B4" w:rsidRPr="00B422B4">
        <w:rPr>
          <w:rFonts w:ascii="Arial" w:eastAsia="Arial" w:hAnsi="Arial" w:cs="Arial"/>
          <w:sz w:val="24"/>
          <w:szCs w:val="24"/>
        </w:rPr>
        <w:t>xiste</w:t>
      </w:r>
      <w:r w:rsidR="0049696E">
        <w:rPr>
          <w:rFonts w:ascii="Arial" w:eastAsia="Arial" w:hAnsi="Arial" w:cs="Arial"/>
          <w:sz w:val="24"/>
          <w:szCs w:val="24"/>
        </w:rPr>
        <w:t>n mut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aciones </w:t>
      </w:r>
      <w:r w:rsidR="00B422B4" w:rsidRPr="00B422B4">
        <w:rPr>
          <w:rFonts w:ascii="Arial" w:eastAsia="Arial" w:hAnsi="Arial" w:cs="Arial"/>
          <w:i/>
          <w:sz w:val="24"/>
          <w:szCs w:val="24"/>
        </w:rPr>
        <w:t>de novo</w:t>
      </w:r>
      <w:r w:rsidR="0049696E">
        <w:rPr>
          <w:rFonts w:ascii="Arial" w:eastAsia="Arial" w:hAnsi="Arial" w:cs="Arial"/>
          <w:i/>
          <w:sz w:val="24"/>
          <w:szCs w:val="24"/>
        </w:rPr>
        <w:t xml:space="preserve"> </w:t>
      </w:r>
      <w:r w:rsidR="0049696E">
        <w:rPr>
          <w:rFonts w:ascii="Arial" w:eastAsia="Arial" w:hAnsi="Arial" w:cs="Arial"/>
          <w:sz w:val="24"/>
          <w:szCs w:val="24"/>
        </w:rPr>
        <w:t>en un 25% de los casos, sin antecedentes</w:t>
      </w:r>
      <w:r w:rsidR="00B422B4" w:rsidRPr="00B422B4">
        <w:rPr>
          <w:rFonts w:ascii="Arial" w:eastAsia="Arial" w:hAnsi="Arial" w:cs="Arial"/>
          <w:sz w:val="24"/>
          <w:szCs w:val="24"/>
        </w:rPr>
        <w:t xml:space="preserve"> familiares, </w:t>
      </w:r>
      <w:r w:rsidR="0049696E">
        <w:rPr>
          <w:rFonts w:ascii="Arial" w:eastAsia="Arial" w:hAnsi="Arial" w:cs="Arial"/>
          <w:sz w:val="24"/>
          <w:szCs w:val="24"/>
        </w:rPr>
        <w:t>lo que puede dificultar el diagnóstico.</w:t>
      </w:r>
    </w:p>
    <w:p w14:paraId="1BB06377" w14:textId="77777777" w:rsidR="000C70E5" w:rsidRDefault="004E4986">
      <w:pPr>
        <w:shd w:val="clear" w:color="auto" w:fill="FFFFFF"/>
        <w:spacing w:before="240" w:after="1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Manejo y tratamiento del angioedema hereditario</w:t>
      </w:r>
    </w:p>
    <w:p w14:paraId="58E48D7E" w14:textId="6FDC5B61" w:rsidR="003265AF" w:rsidRDefault="0049696E">
      <w:pPr>
        <w:shd w:val="clear" w:color="auto" w:fill="FFFFFF"/>
        <w:spacing w:before="240" w:after="160"/>
        <w:jc w:val="both"/>
        <w:rPr>
          <w:rFonts w:ascii="Arial" w:eastAsia="Arial" w:hAnsi="Arial" w:cs="Arial"/>
          <w:sz w:val="24"/>
          <w:szCs w:val="24"/>
        </w:rPr>
      </w:pPr>
      <w:r w:rsidRPr="0049696E">
        <w:rPr>
          <w:rFonts w:ascii="Arial" w:eastAsia="Arial" w:hAnsi="Arial" w:cs="Arial"/>
          <w:sz w:val="24"/>
          <w:szCs w:val="24"/>
        </w:rPr>
        <w:t>El abordaje del AEH se basa en tres estrategias:</w:t>
      </w:r>
      <w:r>
        <w:rPr>
          <w:rFonts w:ascii="Arial" w:eastAsia="Arial" w:hAnsi="Arial" w:cs="Arial"/>
          <w:sz w:val="24"/>
          <w:szCs w:val="24"/>
        </w:rPr>
        <w:t xml:space="preserve"> 1. </w:t>
      </w:r>
      <w:r w:rsidRPr="0049696E">
        <w:rPr>
          <w:rFonts w:ascii="Arial" w:eastAsia="Arial" w:hAnsi="Arial" w:cs="Arial"/>
          <w:sz w:val="24"/>
          <w:szCs w:val="24"/>
        </w:rPr>
        <w:t>Tratamiento del ataque agudo o “a demanda”</w:t>
      </w:r>
      <w:r>
        <w:rPr>
          <w:rFonts w:ascii="Arial" w:eastAsia="Arial" w:hAnsi="Arial" w:cs="Arial"/>
          <w:sz w:val="24"/>
          <w:szCs w:val="24"/>
        </w:rPr>
        <w:t xml:space="preserve">, para </w:t>
      </w:r>
      <w:r w:rsidRPr="0049696E">
        <w:rPr>
          <w:rFonts w:ascii="Arial" w:eastAsia="Arial" w:hAnsi="Arial" w:cs="Arial"/>
          <w:sz w:val="24"/>
          <w:szCs w:val="24"/>
        </w:rPr>
        <w:t xml:space="preserve">tratar los </w:t>
      </w:r>
      <w:r w:rsidR="00DD50D4">
        <w:rPr>
          <w:rFonts w:ascii="Arial" w:eastAsia="Arial" w:hAnsi="Arial" w:cs="Arial"/>
          <w:sz w:val="24"/>
          <w:szCs w:val="24"/>
        </w:rPr>
        <w:t>ataques</w:t>
      </w:r>
      <w:r w:rsidRPr="0049696E">
        <w:rPr>
          <w:rFonts w:ascii="Arial" w:eastAsia="Arial" w:hAnsi="Arial" w:cs="Arial"/>
          <w:sz w:val="24"/>
          <w:szCs w:val="24"/>
        </w:rPr>
        <w:t xml:space="preserve"> de angioedema lo más precozmente posible, para evitar su progresión.</w:t>
      </w:r>
      <w:r w:rsidR="00BC5E5D">
        <w:rPr>
          <w:rFonts w:ascii="Arial" w:eastAsia="Arial" w:hAnsi="Arial" w:cs="Arial"/>
          <w:sz w:val="24"/>
          <w:szCs w:val="24"/>
        </w:rPr>
        <w:t xml:space="preserve"> Disponemos de concentrado plasmático de </w:t>
      </w:r>
      <w:r w:rsidR="00BC5E5D">
        <w:rPr>
          <w:rFonts w:ascii="Arial" w:eastAsia="Arial" w:hAnsi="Arial" w:cs="Arial"/>
          <w:sz w:val="24"/>
          <w:szCs w:val="24"/>
        </w:rPr>
        <w:lastRenderedPageBreak/>
        <w:t>C1 inhibidor humano intravenoso y acetato de icatibant subucutáneo.</w:t>
      </w:r>
      <w:r w:rsidR="00DD50D4" w:rsidRPr="00DD50D4">
        <w:t xml:space="preserve"> </w:t>
      </w:r>
      <w:r w:rsidR="00DD50D4" w:rsidRPr="00DD50D4">
        <w:rPr>
          <w:rFonts w:ascii="Arial" w:eastAsia="Arial" w:hAnsi="Arial" w:cs="Arial"/>
          <w:sz w:val="24"/>
          <w:szCs w:val="24"/>
        </w:rPr>
        <w:t xml:space="preserve">Dado </w:t>
      </w:r>
      <w:r w:rsidR="00061EDF">
        <w:rPr>
          <w:rFonts w:ascii="Arial" w:eastAsia="Arial" w:hAnsi="Arial" w:cs="Arial"/>
          <w:sz w:val="24"/>
          <w:szCs w:val="24"/>
        </w:rPr>
        <w:t>su carácter impredecible</w:t>
      </w:r>
      <w:r w:rsidR="00DD50D4">
        <w:rPr>
          <w:rFonts w:ascii="Arial" w:eastAsia="Arial" w:hAnsi="Arial" w:cs="Arial"/>
          <w:sz w:val="24"/>
          <w:szCs w:val="24"/>
        </w:rPr>
        <w:t>,</w:t>
      </w:r>
      <w:r w:rsidR="00DD50D4" w:rsidRPr="00DD50D4">
        <w:rPr>
          <w:rFonts w:ascii="Arial" w:eastAsia="Arial" w:hAnsi="Arial" w:cs="Arial"/>
          <w:sz w:val="24"/>
          <w:szCs w:val="24"/>
        </w:rPr>
        <w:t xml:space="preserve"> los pacientes deben disponer </w:t>
      </w:r>
      <w:r w:rsidR="00DD50D4">
        <w:rPr>
          <w:rFonts w:ascii="Arial" w:eastAsia="Arial" w:hAnsi="Arial" w:cs="Arial"/>
          <w:sz w:val="24"/>
          <w:szCs w:val="24"/>
        </w:rPr>
        <w:t xml:space="preserve">en su domicilio </w:t>
      </w:r>
      <w:r w:rsidR="00DD50D4" w:rsidRPr="00DD50D4">
        <w:rPr>
          <w:rFonts w:ascii="Arial" w:eastAsia="Arial" w:hAnsi="Arial" w:cs="Arial"/>
          <w:sz w:val="24"/>
          <w:szCs w:val="24"/>
        </w:rPr>
        <w:t>de fármacos para el tratamiento de</w:t>
      </w:r>
      <w:r w:rsidR="00DD50D4">
        <w:rPr>
          <w:rFonts w:ascii="Arial" w:eastAsia="Arial" w:hAnsi="Arial" w:cs="Arial"/>
          <w:sz w:val="24"/>
          <w:szCs w:val="24"/>
        </w:rPr>
        <w:t xml:space="preserve"> al menos dos ataques.</w:t>
      </w:r>
      <w:r w:rsidR="00DD50D4" w:rsidRPr="00DD50D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2. </w:t>
      </w:r>
      <w:r w:rsidRPr="0049696E">
        <w:rPr>
          <w:rFonts w:ascii="Arial" w:eastAsia="Arial" w:hAnsi="Arial" w:cs="Arial"/>
          <w:sz w:val="24"/>
          <w:szCs w:val="24"/>
        </w:rPr>
        <w:t>Profilaxis a corto plazo (PCP) o pre-procedimiento</w:t>
      </w:r>
      <w:r>
        <w:rPr>
          <w:rFonts w:ascii="Arial" w:eastAsia="Arial" w:hAnsi="Arial" w:cs="Arial"/>
          <w:sz w:val="24"/>
          <w:szCs w:val="24"/>
        </w:rPr>
        <w:t>, para la</w:t>
      </w:r>
      <w:r w:rsidRPr="0049696E">
        <w:rPr>
          <w:rFonts w:ascii="Arial" w:eastAsia="Arial" w:hAnsi="Arial" w:cs="Arial"/>
          <w:sz w:val="24"/>
          <w:szCs w:val="24"/>
        </w:rPr>
        <w:t xml:space="preserve"> prevención de ataques ante posibles desencadenantes como procedimientos médico-quirúrgicos (intervenciones dentales, endoscopias, cirugías) o también ante situaciones de estrés</w:t>
      </w:r>
      <w:r w:rsidR="00C54743">
        <w:rPr>
          <w:rFonts w:ascii="Arial" w:eastAsia="Arial" w:hAnsi="Arial" w:cs="Arial"/>
          <w:sz w:val="24"/>
          <w:szCs w:val="24"/>
        </w:rPr>
        <w:t xml:space="preserve"> en la vida</w:t>
      </w:r>
      <w:r w:rsidRPr="0049696E">
        <w:rPr>
          <w:rFonts w:ascii="Arial" w:eastAsia="Arial" w:hAnsi="Arial" w:cs="Arial"/>
          <w:sz w:val="24"/>
          <w:szCs w:val="24"/>
        </w:rPr>
        <w:t>.</w:t>
      </w:r>
      <w:r w:rsidR="00BC5E5D">
        <w:rPr>
          <w:rFonts w:ascii="Arial" w:eastAsia="Arial" w:hAnsi="Arial" w:cs="Arial"/>
          <w:sz w:val="24"/>
          <w:szCs w:val="24"/>
        </w:rPr>
        <w:t xml:space="preserve"> El tratamiento de elección es concentrado plasmático de C1 inhibidor humano intravenoso.</w:t>
      </w:r>
      <w:r>
        <w:rPr>
          <w:rFonts w:ascii="Arial" w:eastAsia="Arial" w:hAnsi="Arial" w:cs="Arial"/>
          <w:sz w:val="24"/>
          <w:szCs w:val="24"/>
        </w:rPr>
        <w:t xml:space="preserve"> 3. </w:t>
      </w:r>
      <w:r w:rsidRPr="0049696E">
        <w:rPr>
          <w:rFonts w:ascii="Arial" w:eastAsia="Arial" w:hAnsi="Arial" w:cs="Arial"/>
          <w:sz w:val="24"/>
          <w:szCs w:val="24"/>
        </w:rPr>
        <w:t>Profilaxis a largo plazo (PLP)</w:t>
      </w:r>
      <w:r>
        <w:rPr>
          <w:rFonts w:ascii="Arial" w:eastAsia="Arial" w:hAnsi="Arial" w:cs="Arial"/>
          <w:sz w:val="24"/>
          <w:szCs w:val="24"/>
        </w:rPr>
        <w:t xml:space="preserve">, consiste en </w:t>
      </w:r>
      <w:r w:rsidRPr="0049696E">
        <w:rPr>
          <w:rFonts w:ascii="Arial" w:eastAsia="Arial" w:hAnsi="Arial" w:cs="Arial"/>
          <w:sz w:val="24"/>
          <w:szCs w:val="24"/>
        </w:rPr>
        <w:t>instaurar un tratamiento continuado para reducir la frecuencia y gravedad de los ataques</w:t>
      </w:r>
      <w:r w:rsidR="00DD50D4">
        <w:rPr>
          <w:rFonts w:ascii="Arial" w:eastAsia="Arial" w:hAnsi="Arial" w:cs="Arial"/>
          <w:sz w:val="24"/>
          <w:szCs w:val="24"/>
        </w:rPr>
        <w:t>.</w:t>
      </w:r>
      <w:r w:rsidR="00BC5E5D">
        <w:rPr>
          <w:rFonts w:ascii="Arial" w:eastAsia="Arial" w:hAnsi="Arial" w:cs="Arial"/>
          <w:sz w:val="24"/>
          <w:szCs w:val="24"/>
        </w:rPr>
        <w:t xml:space="preserve"> Actualmente</w:t>
      </w:r>
      <w:r w:rsidR="00A607EA">
        <w:rPr>
          <w:rFonts w:ascii="Arial" w:eastAsia="Arial" w:hAnsi="Arial" w:cs="Arial"/>
          <w:sz w:val="24"/>
          <w:szCs w:val="24"/>
        </w:rPr>
        <w:t>,</w:t>
      </w:r>
      <w:r w:rsidR="00BC5E5D">
        <w:rPr>
          <w:rFonts w:ascii="Arial" w:eastAsia="Arial" w:hAnsi="Arial" w:cs="Arial"/>
          <w:sz w:val="24"/>
          <w:szCs w:val="24"/>
        </w:rPr>
        <w:t xml:space="preserve"> los tratamientos específicos de primera línea son concentrado plasmático de C1 inhibidor intravenoso o subcutáneo, lanadelumab subcutáneo y berotralstat oral. Los tratamientos inespecíficos con ácido tranexámico oral o danazol oral son de segunda línea.</w:t>
      </w:r>
      <w:r w:rsidR="00DD50D4">
        <w:rPr>
          <w:rFonts w:ascii="Arial" w:eastAsia="Arial" w:hAnsi="Arial" w:cs="Arial"/>
          <w:sz w:val="24"/>
          <w:szCs w:val="24"/>
        </w:rPr>
        <w:t xml:space="preserve"> </w:t>
      </w:r>
      <w:r w:rsidR="003265AF" w:rsidRPr="003265AF">
        <w:rPr>
          <w:rFonts w:ascii="Arial" w:eastAsia="Arial" w:hAnsi="Arial" w:cs="Arial"/>
          <w:sz w:val="24"/>
          <w:szCs w:val="24"/>
        </w:rPr>
        <w:t>Los pacientes son entrenados en la autoadministración de los tratamientos p</w:t>
      </w:r>
      <w:r w:rsidR="003265AF">
        <w:rPr>
          <w:rFonts w:ascii="Arial" w:eastAsia="Arial" w:hAnsi="Arial" w:cs="Arial"/>
          <w:sz w:val="24"/>
          <w:szCs w:val="24"/>
        </w:rPr>
        <w:t>or v</w:t>
      </w:r>
      <w:r w:rsidR="00BC5E5D">
        <w:rPr>
          <w:rFonts w:ascii="Arial" w:eastAsia="Arial" w:hAnsi="Arial" w:cs="Arial"/>
          <w:sz w:val="24"/>
          <w:szCs w:val="24"/>
        </w:rPr>
        <w:t>í</w:t>
      </w:r>
      <w:r w:rsidR="003265AF">
        <w:rPr>
          <w:rFonts w:ascii="Arial" w:eastAsia="Arial" w:hAnsi="Arial" w:cs="Arial"/>
          <w:sz w:val="24"/>
          <w:szCs w:val="24"/>
        </w:rPr>
        <w:t>a intravenosa o subcutánea</w:t>
      </w:r>
      <w:r w:rsidR="00C54743">
        <w:rPr>
          <w:rFonts w:ascii="Arial" w:eastAsia="Arial" w:hAnsi="Arial" w:cs="Arial"/>
          <w:sz w:val="24"/>
          <w:szCs w:val="24"/>
        </w:rPr>
        <w:t xml:space="preserve">, </w:t>
      </w:r>
      <w:r w:rsidR="003265AF" w:rsidRPr="003265AF">
        <w:rPr>
          <w:rFonts w:ascii="Arial" w:eastAsia="Arial" w:hAnsi="Arial" w:cs="Arial"/>
          <w:sz w:val="24"/>
          <w:szCs w:val="24"/>
        </w:rPr>
        <w:t>mejora</w:t>
      </w:r>
      <w:r w:rsidR="00C54743">
        <w:rPr>
          <w:rFonts w:ascii="Arial" w:eastAsia="Arial" w:hAnsi="Arial" w:cs="Arial"/>
          <w:sz w:val="24"/>
          <w:szCs w:val="24"/>
        </w:rPr>
        <w:t>ndo</w:t>
      </w:r>
      <w:r w:rsidR="003265AF" w:rsidRPr="003265AF">
        <w:rPr>
          <w:rFonts w:ascii="Arial" w:eastAsia="Arial" w:hAnsi="Arial" w:cs="Arial"/>
          <w:sz w:val="24"/>
          <w:szCs w:val="24"/>
        </w:rPr>
        <w:t xml:space="preserve"> </w:t>
      </w:r>
      <w:r w:rsidR="00061EDF">
        <w:rPr>
          <w:rFonts w:ascii="Arial" w:eastAsia="Arial" w:hAnsi="Arial" w:cs="Arial"/>
          <w:sz w:val="24"/>
          <w:szCs w:val="24"/>
        </w:rPr>
        <w:t>su</w:t>
      </w:r>
      <w:r w:rsidR="003265AF" w:rsidRPr="003265AF">
        <w:rPr>
          <w:rFonts w:ascii="Arial" w:eastAsia="Arial" w:hAnsi="Arial" w:cs="Arial"/>
          <w:sz w:val="24"/>
          <w:szCs w:val="24"/>
        </w:rPr>
        <w:t xml:space="preserve"> independencia y calidad de vida.</w:t>
      </w:r>
    </w:p>
    <w:p w14:paraId="5314FCA1" w14:textId="5828D973" w:rsidR="003265AF" w:rsidRDefault="004E4986">
      <w:pPr>
        <w:shd w:val="clear" w:color="auto" w:fill="FFFFFF"/>
        <w:spacing w:before="240"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nuevos tratamientos </w:t>
      </w:r>
      <w:r w:rsidR="003F4F4D">
        <w:rPr>
          <w:rFonts w:ascii="Arial" w:eastAsia="Arial" w:hAnsi="Arial" w:cs="Arial"/>
          <w:sz w:val="24"/>
          <w:szCs w:val="24"/>
        </w:rPr>
        <w:t xml:space="preserve">específicos </w:t>
      </w:r>
      <w:r w:rsidR="00DD50D4">
        <w:rPr>
          <w:rFonts w:ascii="Arial" w:eastAsia="Arial" w:hAnsi="Arial" w:cs="Arial"/>
          <w:sz w:val="24"/>
          <w:szCs w:val="24"/>
        </w:rPr>
        <w:t xml:space="preserve">para PLP </w:t>
      </w:r>
      <w:r>
        <w:rPr>
          <w:rFonts w:ascii="Arial" w:eastAsia="Arial" w:hAnsi="Arial" w:cs="Arial"/>
          <w:sz w:val="24"/>
          <w:szCs w:val="24"/>
        </w:rPr>
        <w:t>ofrecen una alta eficacia</w:t>
      </w:r>
      <w:r w:rsidR="00DD50D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nuevas vías de administración</w:t>
      </w:r>
      <w:r w:rsidR="003265AF">
        <w:rPr>
          <w:rFonts w:ascii="Arial" w:eastAsia="Arial" w:hAnsi="Arial" w:cs="Arial"/>
          <w:sz w:val="24"/>
          <w:szCs w:val="24"/>
        </w:rPr>
        <w:t xml:space="preserve"> (antes s</w:t>
      </w:r>
      <w:r w:rsidR="00A607EA">
        <w:rPr>
          <w:rFonts w:ascii="Arial" w:eastAsia="Arial" w:hAnsi="Arial" w:cs="Arial"/>
          <w:sz w:val="24"/>
          <w:szCs w:val="24"/>
        </w:rPr>
        <w:t>o</w:t>
      </w:r>
      <w:r w:rsidR="003265AF">
        <w:rPr>
          <w:rFonts w:ascii="Arial" w:eastAsia="Arial" w:hAnsi="Arial" w:cs="Arial"/>
          <w:sz w:val="24"/>
          <w:szCs w:val="24"/>
        </w:rPr>
        <w:t>lo era posible la administración intravenosa)</w:t>
      </w:r>
      <w:r w:rsidR="00DD50D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posologías más cómodas, disminuyendo la carga de enfermedad y mejorando notablemente la calidad de vida de los pacientes.</w:t>
      </w:r>
      <w:r w:rsidR="00DD50D4">
        <w:rPr>
          <w:rFonts w:ascii="Arial" w:eastAsia="Arial" w:hAnsi="Arial" w:cs="Arial"/>
          <w:sz w:val="24"/>
          <w:szCs w:val="24"/>
        </w:rPr>
        <w:t xml:space="preserve"> </w:t>
      </w:r>
      <w:r w:rsidR="003265AF" w:rsidRPr="003265AF">
        <w:rPr>
          <w:rFonts w:ascii="Arial" w:eastAsia="Arial" w:hAnsi="Arial" w:cs="Arial"/>
          <w:sz w:val="24"/>
          <w:szCs w:val="24"/>
        </w:rPr>
        <w:t>Además, han desplazado</w:t>
      </w:r>
      <w:r w:rsidR="00BC5E5D">
        <w:rPr>
          <w:rFonts w:ascii="Arial" w:eastAsia="Arial" w:hAnsi="Arial" w:cs="Arial"/>
          <w:sz w:val="24"/>
          <w:szCs w:val="24"/>
        </w:rPr>
        <w:t xml:space="preserve"> a</w:t>
      </w:r>
      <w:r w:rsidR="003265AF" w:rsidRPr="003265AF">
        <w:rPr>
          <w:rFonts w:ascii="Arial" w:eastAsia="Arial" w:hAnsi="Arial" w:cs="Arial"/>
          <w:sz w:val="24"/>
          <w:szCs w:val="24"/>
        </w:rPr>
        <w:t xml:space="preserve"> los andrógenos a una segunda línea, debido a sus frecuentes efectos adversos.</w:t>
      </w:r>
      <w:r w:rsidR="003265AF">
        <w:rPr>
          <w:rFonts w:ascii="Arial" w:eastAsia="Arial" w:hAnsi="Arial" w:cs="Arial"/>
          <w:sz w:val="24"/>
          <w:szCs w:val="24"/>
        </w:rPr>
        <w:t xml:space="preserve"> </w:t>
      </w:r>
      <w:r w:rsidR="003265AF" w:rsidRPr="003265AF">
        <w:rPr>
          <w:rFonts w:ascii="Arial" w:eastAsia="Arial" w:hAnsi="Arial" w:cs="Arial"/>
          <w:sz w:val="24"/>
          <w:szCs w:val="24"/>
        </w:rPr>
        <w:t xml:space="preserve">El coste y alto impacto económico de estos nuevos tratamientos limita el acceso a los mismos, quedando restringidos </w:t>
      </w:r>
      <w:r w:rsidR="00061EDF">
        <w:rPr>
          <w:rFonts w:ascii="Arial" w:eastAsia="Arial" w:hAnsi="Arial" w:cs="Arial"/>
          <w:sz w:val="24"/>
          <w:szCs w:val="24"/>
        </w:rPr>
        <w:t>a</w:t>
      </w:r>
      <w:r w:rsidR="003265AF" w:rsidRPr="003265AF">
        <w:rPr>
          <w:rFonts w:ascii="Arial" w:eastAsia="Arial" w:hAnsi="Arial" w:cs="Arial"/>
          <w:sz w:val="24"/>
          <w:szCs w:val="24"/>
        </w:rPr>
        <w:t xml:space="preserve"> los pacientes más graves con alta carga de enfermedad.</w:t>
      </w:r>
    </w:p>
    <w:p w14:paraId="672C8EDE" w14:textId="77777777" w:rsidR="000C70E5" w:rsidRDefault="004E4986">
      <w:pPr>
        <w:shd w:val="clear" w:color="auto" w:fill="FFFFFF"/>
        <w:spacing w:before="240" w:after="1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futuro del angioedema hereditario</w:t>
      </w:r>
    </w:p>
    <w:p w14:paraId="3371C772" w14:textId="018C153D" w:rsidR="003265AF" w:rsidRDefault="004E4986">
      <w:pPr>
        <w:shd w:val="clear" w:color="auto" w:fill="FFFFFF"/>
        <w:spacing w:before="240"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la actualidad, existen numerosas y prometedoras líneas de investigación. Se están desarrollando fármacos orales para el tratamiento del ataque agudo - hasta ahora inexistentes - y</w:t>
      </w:r>
      <w:r w:rsidR="003F4F4D">
        <w:rPr>
          <w:rFonts w:ascii="Arial" w:eastAsia="Arial" w:hAnsi="Arial" w:cs="Arial"/>
          <w:sz w:val="24"/>
          <w:szCs w:val="24"/>
        </w:rPr>
        <w:t xml:space="preserve"> nuevos </w:t>
      </w:r>
      <w:r w:rsidR="003F4F4D" w:rsidRPr="003F4F4D">
        <w:rPr>
          <w:rFonts w:ascii="Arial" w:eastAsia="Arial" w:hAnsi="Arial" w:cs="Arial"/>
          <w:sz w:val="24"/>
          <w:szCs w:val="24"/>
        </w:rPr>
        <w:t>fármacos para profilaxis a largo plazo</w:t>
      </w:r>
      <w:r w:rsidRPr="003F4F4D">
        <w:rPr>
          <w:rFonts w:ascii="Arial" w:eastAsia="Arial" w:hAnsi="Arial" w:cs="Arial"/>
          <w:sz w:val="24"/>
          <w:szCs w:val="24"/>
        </w:rPr>
        <w:t xml:space="preserve"> frente a </w:t>
      </w:r>
      <w:r w:rsidR="003F4F4D" w:rsidRPr="003F4F4D">
        <w:rPr>
          <w:rFonts w:ascii="Arial" w:eastAsia="Arial" w:hAnsi="Arial" w:cs="Arial"/>
          <w:sz w:val="24"/>
          <w:szCs w:val="24"/>
        </w:rPr>
        <w:t>otr</w:t>
      </w:r>
      <w:r w:rsidRPr="003F4F4D">
        <w:rPr>
          <w:rFonts w:ascii="Arial" w:eastAsia="Arial" w:hAnsi="Arial" w:cs="Arial"/>
          <w:sz w:val="24"/>
          <w:szCs w:val="24"/>
        </w:rPr>
        <w:t>as moléculas implicadas en la fisiopatología del AEH.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265AF" w:rsidRPr="00B45AE8">
        <w:rPr>
          <w:rFonts w:ascii="Arial" w:eastAsia="Arial" w:hAnsi="Arial" w:cs="Arial"/>
          <w:sz w:val="24"/>
          <w:szCs w:val="24"/>
        </w:rPr>
        <w:t xml:space="preserve">Además, se están </w:t>
      </w:r>
      <w:r w:rsidR="003F4F4D" w:rsidRPr="00B45AE8">
        <w:rPr>
          <w:rFonts w:ascii="Arial" w:eastAsia="Arial" w:hAnsi="Arial" w:cs="Arial"/>
          <w:sz w:val="24"/>
          <w:szCs w:val="24"/>
        </w:rPr>
        <w:t>investig</w:t>
      </w:r>
      <w:r w:rsidR="003265AF" w:rsidRPr="00B45AE8">
        <w:rPr>
          <w:rFonts w:ascii="Arial" w:eastAsia="Arial" w:hAnsi="Arial" w:cs="Arial"/>
          <w:sz w:val="24"/>
          <w:szCs w:val="24"/>
        </w:rPr>
        <w:t xml:space="preserve">ando tratamientos con nuevas tecnologías, </w:t>
      </w:r>
      <w:r w:rsidR="00061EDF" w:rsidRPr="00B45AE8">
        <w:rPr>
          <w:rFonts w:ascii="Arial" w:eastAsia="Arial" w:hAnsi="Arial" w:cs="Arial"/>
          <w:sz w:val="24"/>
          <w:szCs w:val="24"/>
        </w:rPr>
        <w:t>como</w:t>
      </w:r>
      <w:r w:rsidR="003265AF" w:rsidRPr="00B45AE8">
        <w:rPr>
          <w:rFonts w:ascii="Arial" w:eastAsia="Arial" w:hAnsi="Arial" w:cs="Arial"/>
          <w:sz w:val="24"/>
          <w:szCs w:val="24"/>
        </w:rPr>
        <w:t xml:space="preserve"> el sistema de edición de genes CRISPR-Cas9</w:t>
      </w:r>
      <w:r w:rsidR="00B45AE8" w:rsidRPr="00B45AE8">
        <w:rPr>
          <w:rFonts w:ascii="Arial" w:eastAsia="Arial" w:hAnsi="Arial" w:cs="Arial"/>
          <w:sz w:val="24"/>
          <w:szCs w:val="24"/>
        </w:rPr>
        <w:t xml:space="preserve"> para suprimir la expresión del gen </w:t>
      </w:r>
      <w:r w:rsidR="00B45AE8" w:rsidRPr="00B45AE8">
        <w:rPr>
          <w:rFonts w:ascii="Arial" w:eastAsia="Arial" w:hAnsi="Arial" w:cs="Arial"/>
          <w:i/>
          <w:iCs/>
          <w:sz w:val="24"/>
          <w:szCs w:val="24"/>
        </w:rPr>
        <w:t>KLKB1</w:t>
      </w:r>
      <w:r w:rsidR="00B45AE8" w:rsidRPr="00B45AE8">
        <w:rPr>
          <w:rFonts w:ascii="Arial" w:eastAsia="Arial" w:hAnsi="Arial" w:cs="Arial"/>
          <w:sz w:val="24"/>
          <w:szCs w:val="24"/>
        </w:rPr>
        <w:t xml:space="preserve"> responsable de la producción de precalicreína plasmática</w:t>
      </w:r>
      <w:r w:rsidR="00BC5E5D">
        <w:rPr>
          <w:rFonts w:ascii="Arial" w:eastAsia="Arial" w:hAnsi="Arial" w:cs="Arial"/>
          <w:sz w:val="24"/>
          <w:szCs w:val="24"/>
        </w:rPr>
        <w:t xml:space="preserve"> (NTLA-2002)</w:t>
      </w:r>
      <w:r w:rsidR="003F4F4D" w:rsidRPr="00B45AE8">
        <w:rPr>
          <w:rFonts w:ascii="Arial" w:eastAsia="Arial" w:hAnsi="Arial" w:cs="Arial"/>
          <w:sz w:val="24"/>
          <w:szCs w:val="24"/>
        </w:rPr>
        <w:t xml:space="preserve"> </w:t>
      </w:r>
      <w:r w:rsidR="003265AF" w:rsidRPr="00B45AE8">
        <w:rPr>
          <w:rFonts w:ascii="Arial" w:eastAsia="Arial" w:hAnsi="Arial" w:cs="Arial"/>
          <w:sz w:val="24"/>
          <w:szCs w:val="24"/>
        </w:rPr>
        <w:t xml:space="preserve">o terapia génica </w:t>
      </w:r>
      <w:r w:rsidR="00B45AE8" w:rsidRPr="00B45AE8">
        <w:rPr>
          <w:rFonts w:ascii="Arial" w:eastAsia="Arial" w:hAnsi="Arial" w:cs="Arial"/>
          <w:sz w:val="24"/>
          <w:szCs w:val="24"/>
        </w:rPr>
        <w:t xml:space="preserve">insertando </w:t>
      </w:r>
      <w:r w:rsidR="003265AF" w:rsidRPr="00B45AE8">
        <w:rPr>
          <w:rFonts w:ascii="Arial" w:eastAsia="Arial" w:hAnsi="Arial" w:cs="Arial"/>
          <w:sz w:val="24"/>
          <w:szCs w:val="24"/>
        </w:rPr>
        <w:t>el gen</w:t>
      </w:r>
      <w:r w:rsidR="00B45AE8" w:rsidRPr="00B45AE8">
        <w:rPr>
          <w:rFonts w:ascii="Arial" w:eastAsia="Arial" w:hAnsi="Arial" w:cs="Arial"/>
          <w:sz w:val="24"/>
          <w:szCs w:val="24"/>
        </w:rPr>
        <w:t xml:space="preserve"> </w:t>
      </w:r>
      <w:r w:rsidR="00B45AE8" w:rsidRPr="00B45AE8">
        <w:rPr>
          <w:rFonts w:ascii="Arial" w:eastAsia="Arial" w:hAnsi="Arial" w:cs="Arial"/>
          <w:i/>
          <w:iCs/>
          <w:sz w:val="24"/>
          <w:szCs w:val="24"/>
        </w:rPr>
        <w:t>SERPING1</w:t>
      </w:r>
      <w:r w:rsidR="00B45AE8" w:rsidRPr="00B45AE8">
        <w:rPr>
          <w:rFonts w:ascii="Arial" w:eastAsia="Arial" w:hAnsi="Arial" w:cs="Arial"/>
          <w:sz w:val="24"/>
          <w:szCs w:val="24"/>
        </w:rPr>
        <w:t xml:space="preserve"> que codifica </w:t>
      </w:r>
      <w:r w:rsidR="003265AF" w:rsidRPr="00B45AE8">
        <w:rPr>
          <w:rFonts w:ascii="Arial" w:eastAsia="Arial" w:hAnsi="Arial" w:cs="Arial"/>
          <w:sz w:val="24"/>
          <w:szCs w:val="24"/>
        </w:rPr>
        <w:t>el C1 inhibidor</w:t>
      </w:r>
      <w:r w:rsidR="00BC5E5D">
        <w:rPr>
          <w:rFonts w:ascii="Arial" w:eastAsia="Arial" w:hAnsi="Arial" w:cs="Arial"/>
          <w:sz w:val="24"/>
          <w:szCs w:val="24"/>
        </w:rPr>
        <w:t xml:space="preserve"> (BMN-331)</w:t>
      </w:r>
      <w:r w:rsidR="003265AF" w:rsidRPr="00B45AE8">
        <w:rPr>
          <w:rFonts w:ascii="Arial" w:eastAsia="Arial" w:hAnsi="Arial" w:cs="Arial"/>
          <w:sz w:val="24"/>
          <w:szCs w:val="24"/>
        </w:rPr>
        <w:t xml:space="preserve">. Estas nuevas tecnologías abren </w:t>
      </w:r>
      <w:r w:rsidR="00BC5E5D">
        <w:rPr>
          <w:rFonts w:ascii="Arial" w:eastAsia="Arial" w:hAnsi="Arial" w:cs="Arial"/>
          <w:sz w:val="24"/>
          <w:szCs w:val="24"/>
        </w:rPr>
        <w:t>la</w:t>
      </w:r>
      <w:r w:rsidR="003265AF" w:rsidRPr="00B45AE8">
        <w:rPr>
          <w:rFonts w:ascii="Arial" w:eastAsia="Arial" w:hAnsi="Arial" w:cs="Arial"/>
          <w:sz w:val="24"/>
          <w:szCs w:val="24"/>
        </w:rPr>
        <w:t xml:space="preserve"> esperanza a un tratamiento definitivo de la enfermedad. Los resultados iniciales</w:t>
      </w:r>
      <w:r w:rsidR="00BC5E5D">
        <w:rPr>
          <w:rFonts w:ascii="Arial" w:eastAsia="Arial" w:hAnsi="Arial" w:cs="Arial"/>
          <w:sz w:val="24"/>
          <w:szCs w:val="24"/>
        </w:rPr>
        <w:t xml:space="preserve"> con NTLA-2002</w:t>
      </w:r>
      <w:r w:rsidR="003265AF" w:rsidRPr="00B45AE8">
        <w:rPr>
          <w:rFonts w:ascii="Arial" w:eastAsia="Arial" w:hAnsi="Arial" w:cs="Arial"/>
          <w:sz w:val="24"/>
          <w:szCs w:val="24"/>
        </w:rPr>
        <w:t xml:space="preserve"> son prometedores con una sola administración. No obstante,</w:t>
      </w:r>
      <w:r w:rsidR="003265AF">
        <w:rPr>
          <w:rFonts w:ascii="Arial" w:eastAsia="Arial" w:hAnsi="Arial" w:cs="Arial"/>
          <w:sz w:val="24"/>
          <w:szCs w:val="24"/>
        </w:rPr>
        <w:t xml:space="preserve"> </w:t>
      </w:r>
      <w:r w:rsidR="003265AF" w:rsidRPr="003265AF">
        <w:rPr>
          <w:rFonts w:ascii="Arial" w:eastAsia="Arial" w:hAnsi="Arial" w:cs="Arial"/>
          <w:sz w:val="24"/>
          <w:szCs w:val="24"/>
        </w:rPr>
        <w:t>se necesitan estudios con más pacientes y a más largo plazo, para saber cuánto tiempo se mantiene la eficacia y la seguridad</w:t>
      </w:r>
      <w:r w:rsidR="003265AF">
        <w:rPr>
          <w:rFonts w:ascii="Arial" w:eastAsia="Arial" w:hAnsi="Arial" w:cs="Arial"/>
          <w:sz w:val="24"/>
          <w:szCs w:val="24"/>
        </w:rPr>
        <w:t xml:space="preserve">. También para </w:t>
      </w:r>
      <w:r w:rsidR="003265AF" w:rsidRPr="003265AF">
        <w:rPr>
          <w:rFonts w:ascii="Arial" w:eastAsia="Arial" w:hAnsi="Arial" w:cs="Arial"/>
          <w:sz w:val="24"/>
          <w:szCs w:val="24"/>
        </w:rPr>
        <w:t>valorar el potencial riesgo de genotoxicidad o alteraciones genéticas no buscadas.</w:t>
      </w:r>
    </w:p>
    <w:p w14:paraId="2EFD305D" w14:textId="77777777" w:rsidR="003265AF" w:rsidRDefault="003265AF">
      <w:pPr>
        <w:shd w:val="clear" w:color="auto" w:fill="FFFFFF"/>
        <w:spacing w:before="240" w:after="160"/>
        <w:jc w:val="both"/>
        <w:rPr>
          <w:rFonts w:ascii="Arial" w:eastAsia="Arial" w:hAnsi="Arial" w:cs="Arial"/>
          <w:sz w:val="24"/>
          <w:szCs w:val="24"/>
        </w:rPr>
      </w:pPr>
    </w:p>
    <w:p w14:paraId="4235325B" w14:textId="77777777" w:rsidR="00B422B4" w:rsidRDefault="00B422B4">
      <w:pPr>
        <w:shd w:val="clear" w:color="auto" w:fill="FFFFFF"/>
        <w:spacing w:before="240" w:after="1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Dras. Teresa Caballero, Alicia Prieto y María Torres, Comité de Angioedema de la Sociedad Española de Alergología e Inmunología Clínica (SEAIC).</w:t>
      </w:r>
    </w:p>
    <w:p w14:paraId="0DD9AD58" w14:textId="77777777" w:rsidR="000C70E5" w:rsidRDefault="004E4986">
      <w:pPr>
        <w:shd w:val="clear" w:color="auto" w:fill="FFFFFF"/>
        <w:spacing w:before="240" w:after="1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 más información</w:t>
      </w:r>
    </w:p>
    <w:p w14:paraId="72DBCC1A" w14:textId="77777777" w:rsidR="000C70E5" w:rsidRDefault="004E4986">
      <w:pPr>
        <w:spacing w:before="240"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ALABRA / 91 789 14 59</w:t>
      </w:r>
    </w:p>
    <w:p w14:paraId="7531F80E" w14:textId="77777777" w:rsidR="000C70E5" w:rsidRDefault="004E4986">
      <w:pPr>
        <w:spacing w:before="240" w:after="0"/>
        <w:jc w:val="both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</w:rPr>
        <w:t xml:space="preserve">Carolina López </w:t>
      </w:r>
      <w:hyperlink r:id="rId9">
        <w:r>
          <w:rPr>
            <w:rFonts w:ascii="Arial" w:eastAsia="Arial" w:hAnsi="Arial" w:cs="Arial"/>
            <w:b/>
            <w:color w:val="1155CC"/>
            <w:u w:val="single"/>
          </w:rPr>
          <w:t>carolina.lopez@alabra.es</w:t>
        </w:r>
      </w:hyperlink>
    </w:p>
    <w:p w14:paraId="19061F9C" w14:textId="77777777" w:rsidR="000C70E5" w:rsidRDefault="004E4986">
      <w:pPr>
        <w:spacing w:before="240" w:after="0"/>
        <w:jc w:val="both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</w:rPr>
        <w:t xml:space="preserve">Helena Pastor </w:t>
      </w:r>
      <w:hyperlink r:id="rId10">
        <w:r>
          <w:rPr>
            <w:rFonts w:ascii="Arial" w:eastAsia="Arial" w:hAnsi="Arial" w:cs="Arial"/>
            <w:b/>
            <w:color w:val="1155CC"/>
            <w:u w:val="single"/>
          </w:rPr>
          <w:t>helena.pastor@alabra.es</w:t>
        </w:r>
      </w:hyperlink>
    </w:p>
    <w:p w14:paraId="1AF75427" w14:textId="77777777" w:rsidR="000C70E5" w:rsidRDefault="000C70E5">
      <w:pPr>
        <w:spacing w:before="240" w:after="0"/>
        <w:jc w:val="both"/>
        <w:rPr>
          <w:rFonts w:ascii="Arial" w:eastAsia="Arial" w:hAnsi="Arial" w:cs="Arial"/>
        </w:rPr>
      </w:pPr>
    </w:p>
    <w:sectPr w:rsidR="000C70E5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4472" w14:textId="77777777" w:rsidR="008A378E" w:rsidRDefault="008A378E">
      <w:pPr>
        <w:spacing w:after="0" w:line="240" w:lineRule="auto"/>
      </w:pPr>
      <w:r>
        <w:separator/>
      </w:r>
    </w:p>
  </w:endnote>
  <w:endnote w:type="continuationSeparator" w:id="0">
    <w:p w14:paraId="0DD97980" w14:textId="77777777" w:rsidR="008A378E" w:rsidRDefault="008A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27E" w14:textId="77777777" w:rsidR="008A378E" w:rsidRDefault="008A378E">
      <w:pPr>
        <w:spacing w:after="0" w:line="240" w:lineRule="auto"/>
      </w:pPr>
      <w:r>
        <w:separator/>
      </w:r>
    </w:p>
  </w:footnote>
  <w:footnote w:type="continuationSeparator" w:id="0">
    <w:p w14:paraId="0D0B14C7" w14:textId="77777777" w:rsidR="008A378E" w:rsidRDefault="008A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94E8" w14:textId="77777777" w:rsidR="000C70E5" w:rsidRDefault="000C70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577C1"/>
    <w:multiLevelType w:val="multilevel"/>
    <w:tmpl w:val="1414B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15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E5"/>
    <w:rsid w:val="00061EDF"/>
    <w:rsid w:val="000851F6"/>
    <w:rsid w:val="000C70E5"/>
    <w:rsid w:val="00220C85"/>
    <w:rsid w:val="003265AF"/>
    <w:rsid w:val="003F4F4D"/>
    <w:rsid w:val="00436B01"/>
    <w:rsid w:val="0049696E"/>
    <w:rsid w:val="004E4986"/>
    <w:rsid w:val="008A378E"/>
    <w:rsid w:val="009E1E85"/>
    <w:rsid w:val="00A607EA"/>
    <w:rsid w:val="00B422B4"/>
    <w:rsid w:val="00B45AE8"/>
    <w:rsid w:val="00BC5E5D"/>
    <w:rsid w:val="00C54743"/>
    <w:rsid w:val="00CE3A41"/>
    <w:rsid w:val="00DD50D4"/>
    <w:rsid w:val="00EC0A32"/>
    <w:rsid w:val="00E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B6DF"/>
  <w15:docId w15:val="{8C87839D-C29F-4861-BA4B-41432A0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ena.pastor@alabr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a.lopez@alabr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RWb5HuzXwRLD2w3shYPAEbitg==">CgMxLjA4AHIhMVhxQ1cyUjJOLS1nbzNsbElYbUJMcUZ2SkRBei1ZM0Zr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Prieto Garcia.Alicia</dc:creator>
  <cp:lastModifiedBy>10-JAG-IS-LB-VM-CL</cp:lastModifiedBy>
  <cp:revision>3</cp:revision>
  <dcterms:created xsi:type="dcterms:W3CDTF">2024-04-16T09:31:00Z</dcterms:created>
  <dcterms:modified xsi:type="dcterms:W3CDTF">2024-04-16T09:31:00Z</dcterms:modified>
</cp:coreProperties>
</file>